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DA7020" w14:textId="77777777" w:rsidR="008F2AEE" w:rsidRPr="005F3493" w:rsidRDefault="008F2AEE">
      <w:pPr>
        <w:rPr>
          <w:rFonts w:ascii="Arial" w:hAnsi="Arial" w:cs="Arial"/>
        </w:rPr>
      </w:pPr>
      <w:bookmarkStart w:id="0" w:name="_GoBack"/>
      <w:bookmarkEnd w:id="0"/>
    </w:p>
    <w:p w14:paraId="6AEDA029" w14:textId="77777777" w:rsidR="009970CC" w:rsidRDefault="009970CC" w:rsidP="005F3493">
      <w:pPr>
        <w:jc w:val="center"/>
        <w:rPr>
          <w:rFonts w:ascii="Arial" w:hAnsi="Arial" w:cs="Arial"/>
          <w:b/>
        </w:rPr>
      </w:pPr>
    </w:p>
    <w:p w14:paraId="544D9E66" w14:textId="1120D09E" w:rsidR="005F3493" w:rsidRDefault="00CD5FF4" w:rsidP="005F349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ESTRATEGIA PARA LA RENDICIÓN DE CUENTAS</w:t>
      </w:r>
    </w:p>
    <w:p w14:paraId="7F30BA31" w14:textId="32EFEB8E" w:rsidR="00CD5FF4" w:rsidRDefault="00CD5FF4" w:rsidP="005F349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VIGENCIA 2017</w:t>
      </w:r>
    </w:p>
    <w:p w14:paraId="650267A8" w14:textId="77777777" w:rsidR="00F25D77" w:rsidRDefault="00F25D77" w:rsidP="005F3493">
      <w:pPr>
        <w:jc w:val="center"/>
        <w:rPr>
          <w:rFonts w:ascii="Arial" w:hAnsi="Arial" w:cs="Arial"/>
          <w:b/>
        </w:rPr>
      </w:pPr>
    </w:p>
    <w:p w14:paraId="0CD5B269" w14:textId="77777777" w:rsidR="00F25D77" w:rsidRDefault="00F25D77" w:rsidP="005F3493">
      <w:pPr>
        <w:jc w:val="center"/>
        <w:rPr>
          <w:rFonts w:ascii="Arial" w:hAnsi="Arial" w:cs="Arial"/>
          <w:b/>
        </w:rPr>
      </w:pPr>
    </w:p>
    <w:p w14:paraId="0C9B70A1" w14:textId="0CE0D481" w:rsidR="009970CC" w:rsidRPr="009970CC" w:rsidRDefault="009970CC" w:rsidP="009970CC">
      <w:pPr>
        <w:jc w:val="both"/>
        <w:rPr>
          <w:rFonts w:ascii="Arial" w:hAnsi="Arial" w:cs="Arial"/>
          <w:lang w:val="es-ES"/>
        </w:rPr>
      </w:pPr>
      <w:r w:rsidRPr="009970CC">
        <w:rPr>
          <w:rFonts w:ascii="Arial" w:hAnsi="Arial" w:cs="Arial"/>
          <w:lang w:val="es-ES"/>
        </w:rPr>
        <w:t>El IDPAC consiente de su deber de informar y propiciar espacios para facilitar la intervención de la ciudadanía, en los asuntos de su interés y los avances de la gestión, implementó acciones de información, diálogo e incentivos a la participación ciudadana, contenidas en la Guía Estrategia para la Rendición de Cuentas, publicada en el mes de octubre de 2016. En este sentido, en las vigencias 20</w:t>
      </w:r>
      <w:r>
        <w:rPr>
          <w:rFonts w:ascii="Arial" w:hAnsi="Arial" w:cs="Arial"/>
          <w:lang w:val="es-ES"/>
        </w:rPr>
        <w:t>16 y 2017 se han realizaron cuatro (04</w:t>
      </w:r>
      <w:r w:rsidRPr="009970CC">
        <w:rPr>
          <w:rFonts w:ascii="Arial" w:hAnsi="Arial" w:cs="Arial"/>
          <w:lang w:val="es-ES"/>
        </w:rPr>
        <w:t>) ejercicios de rendición de cuentas con la participación de 1.208 ciudadanos.</w:t>
      </w:r>
    </w:p>
    <w:p w14:paraId="423C8F94" w14:textId="77777777" w:rsidR="009970CC" w:rsidRPr="009970CC" w:rsidRDefault="009970CC" w:rsidP="009970CC">
      <w:pPr>
        <w:jc w:val="both"/>
        <w:rPr>
          <w:rFonts w:ascii="Arial" w:hAnsi="Arial" w:cs="Arial"/>
          <w:lang w:val="es-ES"/>
        </w:rPr>
      </w:pPr>
    </w:p>
    <w:p w14:paraId="285CF85C" w14:textId="7E1CA910" w:rsidR="009970CC" w:rsidRPr="009970CC" w:rsidRDefault="009970CC" w:rsidP="009970CC">
      <w:pPr>
        <w:jc w:val="both"/>
        <w:rPr>
          <w:rFonts w:ascii="Arial" w:hAnsi="Arial" w:cs="Arial"/>
          <w:lang w:val="es-ES"/>
        </w:rPr>
      </w:pPr>
      <w:r w:rsidRPr="009970CC">
        <w:rPr>
          <w:rFonts w:ascii="Arial" w:hAnsi="Arial" w:cs="Arial"/>
          <w:lang w:val="es-ES"/>
        </w:rPr>
        <w:t xml:space="preserve">La primera actividad fue </w:t>
      </w:r>
      <w:r>
        <w:rPr>
          <w:rFonts w:ascii="Arial" w:hAnsi="Arial" w:cs="Arial"/>
          <w:lang w:val="es-ES"/>
        </w:rPr>
        <w:t xml:space="preserve">una audiencia pública </w:t>
      </w:r>
      <w:r w:rsidRPr="009970CC">
        <w:rPr>
          <w:rFonts w:ascii="Arial" w:hAnsi="Arial" w:cs="Arial"/>
          <w:lang w:val="es-ES"/>
        </w:rPr>
        <w:t xml:space="preserve">realizada en el mes de diciembre de 2016 e inició con la publicación en página web del informe que contiene los resultados alcanzados en la vigencia 2016 y los retos a enfrentar en la vigencia 2017, con base en este informe se realizó una audiencia pública el día 28 de diciembre de 2016 a través de </w:t>
      </w:r>
      <w:proofErr w:type="spellStart"/>
      <w:r w:rsidRPr="009970CC">
        <w:rPr>
          <w:rFonts w:ascii="Arial" w:hAnsi="Arial" w:cs="Arial"/>
          <w:lang w:val="es-ES"/>
        </w:rPr>
        <w:t>streaming</w:t>
      </w:r>
      <w:proofErr w:type="spellEnd"/>
      <w:r w:rsidRPr="009970CC">
        <w:rPr>
          <w:rFonts w:ascii="Arial" w:hAnsi="Arial" w:cs="Arial"/>
          <w:lang w:val="es-ES"/>
        </w:rPr>
        <w:t xml:space="preserve"> la cual contó con la participación de 1.054 ciudadanos.</w:t>
      </w:r>
    </w:p>
    <w:p w14:paraId="11B0A1DD" w14:textId="77777777" w:rsidR="009970CC" w:rsidRPr="009970CC" w:rsidRDefault="009970CC" w:rsidP="009970CC">
      <w:pPr>
        <w:jc w:val="both"/>
        <w:rPr>
          <w:rFonts w:ascii="Arial" w:hAnsi="Arial" w:cs="Arial"/>
          <w:lang w:val="es-ES"/>
        </w:rPr>
      </w:pPr>
    </w:p>
    <w:p w14:paraId="403E56DA" w14:textId="77777777" w:rsidR="009970CC" w:rsidRPr="009970CC" w:rsidRDefault="009970CC" w:rsidP="009970CC">
      <w:pPr>
        <w:jc w:val="both"/>
        <w:rPr>
          <w:rFonts w:ascii="Arial" w:hAnsi="Arial" w:cs="Arial"/>
          <w:lang w:val="es-ES"/>
        </w:rPr>
      </w:pPr>
      <w:r w:rsidRPr="009970CC">
        <w:rPr>
          <w:rFonts w:ascii="Arial" w:hAnsi="Arial" w:cs="Arial"/>
          <w:lang w:val="es-ES"/>
        </w:rPr>
        <w:t>La segunda actividad fue el evento “Diálogo Ciudadano Sector Gobierno” realizado el día 13 de marzo de 2017, en conjunto con la Secretaría Distrital de Gobierno y el Departamento Administrativo de la Defensoría del Espacio Público (DADEP), en este evento participaron 86 ciudadanos.</w:t>
      </w:r>
    </w:p>
    <w:p w14:paraId="3296D28C" w14:textId="77777777" w:rsidR="009970CC" w:rsidRPr="009970CC" w:rsidRDefault="009970CC" w:rsidP="009970CC">
      <w:pPr>
        <w:jc w:val="both"/>
        <w:rPr>
          <w:rFonts w:ascii="Arial" w:hAnsi="Arial" w:cs="Arial"/>
          <w:lang w:val="es-ES"/>
        </w:rPr>
      </w:pPr>
    </w:p>
    <w:p w14:paraId="5F18072B" w14:textId="667FCF5F" w:rsidR="009970CC" w:rsidRPr="009970CC" w:rsidRDefault="009970CC" w:rsidP="009970CC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</w:t>
      </w:r>
      <w:r w:rsidRPr="009970CC">
        <w:rPr>
          <w:rFonts w:ascii="Arial" w:hAnsi="Arial" w:cs="Arial"/>
          <w:lang w:val="es-ES"/>
        </w:rPr>
        <w:t xml:space="preserve">a tercera actividad fue “Recorridos Locales con Directivos IDPAC”, para la cual se plantearon 3 objetivos: i) Realizar un ejercicio de reconocimiento del territorio en sus dinámicas de participación; ii) Identificar características como procesos de participación en cada una de las localidades con el fin de consolidar acciones de abordaje territorial; y iii) Intercambio de experiencias, diálogo de saberes entre el equipo directivo, el equipo territorial, las organizaciones y la alcaldía, en el entorno local. Esta actividad fue programada para las vigencias 2017 y 2018; durante la vigencia 2017 se han visitado 11 localidades (La Candelaria, Bosa, Tunjuelito, Puente Aranda, Chapinero, Usme, Kennedy, Antonio Nariño, Santa </w:t>
      </w:r>
      <w:proofErr w:type="spellStart"/>
      <w:r w:rsidRPr="009970CC">
        <w:rPr>
          <w:rFonts w:ascii="Arial" w:hAnsi="Arial" w:cs="Arial"/>
          <w:lang w:val="es-ES"/>
        </w:rPr>
        <w:t>Fé</w:t>
      </w:r>
      <w:proofErr w:type="spellEnd"/>
      <w:r w:rsidRPr="009970CC">
        <w:rPr>
          <w:rFonts w:ascii="Arial" w:hAnsi="Arial" w:cs="Arial"/>
          <w:lang w:val="es-ES"/>
        </w:rPr>
        <w:t>, Ciudad Bolívar y Suba), en las cuales han participado 69 ciudadanos.</w:t>
      </w:r>
    </w:p>
    <w:p w14:paraId="37D7F34F" w14:textId="77777777" w:rsidR="009970CC" w:rsidRPr="009970CC" w:rsidRDefault="009970CC" w:rsidP="009970CC">
      <w:pPr>
        <w:jc w:val="both"/>
        <w:rPr>
          <w:rFonts w:ascii="Arial" w:hAnsi="Arial" w:cs="Arial"/>
          <w:lang w:val="es-ES"/>
        </w:rPr>
      </w:pPr>
    </w:p>
    <w:p w14:paraId="14F97294" w14:textId="62317B09" w:rsidR="004848F8" w:rsidRDefault="009970CC" w:rsidP="004848F8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es-ES"/>
        </w:rPr>
        <w:t xml:space="preserve">Y, la tercera actividad fue la audiencia pública realizada el día 30 de diciembre de 2017 la cual inició con la publicación de una consulta ciudadana que fue publicada </w:t>
      </w:r>
      <w:r w:rsidR="004848F8">
        <w:rPr>
          <w:rFonts w:ascii="Arial" w:hAnsi="Arial" w:cs="Arial"/>
        </w:rPr>
        <w:t>del 07 al 19 de diciembre y</w:t>
      </w:r>
      <w:r>
        <w:rPr>
          <w:rFonts w:ascii="Arial" w:hAnsi="Arial" w:cs="Arial"/>
        </w:rPr>
        <w:t xml:space="preserve"> a partir de la cual</w:t>
      </w:r>
      <w:r w:rsidR="004848F8">
        <w:rPr>
          <w:rFonts w:ascii="Arial" w:hAnsi="Arial" w:cs="Arial"/>
        </w:rPr>
        <w:t xml:space="preserve"> se obtuvieron los siguientes resultados:</w:t>
      </w:r>
    </w:p>
    <w:p w14:paraId="4778DC36" w14:textId="77777777" w:rsidR="004848F8" w:rsidRDefault="004848F8" w:rsidP="004848F8">
      <w:pPr>
        <w:jc w:val="both"/>
        <w:rPr>
          <w:rFonts w:ascii="Arial" w:hAnsi="Arial" w:cs="Arial"/>
        </w:rPr>
      </w:pPr>
    </w:p>
    <w:p w14:paraId="7A5C2F68" w14:textId="77777777" w:rsidR="009970CC" w:rsidRDefault="009970CC" w:rsidP="004848F8">
      <w:pPr>
        <w:jc w:val="both"/>
        <w:rPr>
          <w:rFonts w:ascii="Arial" w:hAnsi="Arial" w:cs="Arial"/>
        </w:rPr>
      </w:pPr>
    </w:p>
    <w:p w14:paraId="3D9397C0" w14:textId="77777777" w:rsidR="009970CC" w:rsidRDefault="009970CC" w:rsidP="004848F8">
      <w:pPr>
        <w:jc w:val="both"/>
        <w:rPr>
          <w:rFonts w:ascii="Arial" w:hAnsi="Arial" w:cs="Arial"/>
        </w:rPr>
      </w:pPr>
    </w:p>
    <w:p w14:paraId="20C7FC9C" w14:textId="77777777" w:rsidR="004848F8" w:rsidRDefault="004848F8" w:rsidP="00CD5FF4">
      <w:pPr>
        <w:ind w:firstLine="708"/>
        <w:jc w:val="both"/>
        <w:rPr>
          <w:rFonts w:ascii="Arial" w:hAnsi="Arial" w:cs="Arial"/>
        </w:rPr>
      </w:pPr>
    </w:p>
    <w:p w14:paraId="07AE7BC0" w14:textId="3677C27B" w:rsidR="004848F8" w:rsidRPr="004848F8" w:rsidRDefault="004848F8" w:rsidP="004848F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Participación</w:t>
      </w:r>
    </w:p>
    <w:p w14:paraId="1E7AF250" w14:textId="77777777" w:rsidR="004848F8" w:rsidRDefault="004848F8" w:rsidP="004848F8">
      <w:pPr>
        <w:jc w:val="both"/>
        <w:rPr>
          <w:rFonts w:ascii="Arial" w:hAnsi="Arial" w:cs="Arial"/>
        </w:rPr>
      </w:pPr>
    </w:p>
    <w:p w14:paraId="16A05ACC" w14:textId="079B4675" w:rsidR="004848F8" w:rsidRDefault="004848F8" w:rsidP="004848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obtuvo una participación de 23 personas</w:t>
      </w:r>
      <w:r w:rsidR="00A8304C">
        <w:rPr>
          <w:rFonts w:ascii="Arial" w:hAnsi="Arial" w:cs="Arial"/>
        </w:rPr>
        <w:t>, de las cuales se destaca que el 56,5% de las personas que participaron son adultos.</w:t>
      </w:r>
    </w:p>
    <w:p w14:paraId="7A98E835" w14:textId="77777777" w:rsidR="00A8304C" w:rsidRDefault="00A8304C" w:rsidP="004848F8">
      <w:pPr>
        <w:jc w:val="both"/>
        <w:rPr>
          <w:rFonts w:ascii="Arial" w:hAnsi="Arial" w:cs="Arial"/>
        </w:rPr>
      </w:pPr>
    </w:p>
    <w:p w14:paraId="5889CE8C" w14:textId="6AEAB537" w:rsidR="00A8304C" w:rsidRDefault="00A8304C" w:rsidP="004848F8">
      <w:pPr>
        <w:jc w:val="both"/>
        <w:rPr>
          <w:rFonts w:ascii="Arial" w:hAnsi="Arial" w:cs="Arial"/>
          <w:vertAlign w:val="subscript"/>
        </w:rPr>
      </w:pPr>
      <w:r w:rsidRPr="00A8304C">
        <w:rPr>
          <w:rFonts w:ascii="Arial" w:hAnsi="Arial" w:cs="Arial"/>
          <w:noProof/>
          <w:vertAlign w:val="subscript"/>
          <w:lang w:val="es-CO" w:eastAsia="es-CO"/>
        </w:rPr>
        <w:drawing>
          <wp:inline distT="0" distB="0" distL="0" distR="0" wp14:anchorId="370DEB18" wp14:editId="4FF74C34">
            <wp:extent cx="5612130" cy="2054860"/>
            <wp:effectExtent l="0" t="0" r="127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70075" w14:textId="77777777" w:rsidR="00A8304C" w:rsidRPr="00A8304C" w:rsidRDefault="00A8304C" w:rsidP="004848F8">
      <w:pPr>
        <w:jc w:val="both"/>
        <w:rPr>
          <w:rFonts w:ascii="Arial" w:hAnsi="Arial" w:cs="Arial"/>
        </w:rPr>
      </w:pPr>
    </w:p>
    <w:p w14:paraId="4AAC6FE6" w14:textId="5363C479" w:rsidR="005F3493" w:rsidRPr="00A8304C" w:rsidRDefault="00A8304C" w:rsidP="00A8304C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¿</w:t>
      </w:r>
      <w:r w:rsidRPr="00A8304C">
        <w:rPr>
          <w:rFonts w:ascii="Arial" w:hAnsi="Arial" w:cs="Arial"/>
          <w:b/>
        </w:rPr>
        <w:t>Sobre cuáles de los siguientes temas te gustaría conocer y/o dialogar en los espacios y acciones de Rendición de Cuentas?</w:t>
      </w:r>
    </w:p>
    <w:p w14:paraId="3735BDC5" w14:textId="77777777" w:rsidR="00A8304C" w:rsidRDefault="00A8304C" w:rsidP="00A8304C">
      <w:pPr>
        <w:rPr>
          <w:rFonts w:ascii="Arial" w:hAnsi="Arial" w:cs="Arial"/>
        </w:rPr>
      </w:pPr>
    </w:p>
    <w:p w14:paraId="599F67F3" w14:textId="65A83C43" w:rsidR="00A8304C" w:rsidRDefault="00A8304C" w:rsidP="00A8304C">
      <w:pPr>
        <w:rPr>
          <w:rFonts w:ascii="Arial" w:hAnsi="Arial" w:cs="Arial"/>
        </w:rPr>
      </w:pPr>
      <w:r>
        <w:rPr>
          <w:rFonts w:ascii="Arial" w:hAnsi="Arial" w:cs="Arial"/>
        </w:rPr>
        <w:t>En cuanto a los temas de interés que se consultaron se obtuvieron los siguientes resultados:</w:t>
      </w:r>
    </w:p>
    <w:p w14:paraId="1E816910" w14:textId="77777777" w:rsidR="00A8304C" w:rsidRDefault="00A8304C" w:rsidP="00A8304C">
      <w:pPr>
        <w:rPr>
          <w:rFonts w:ascii="Arial" w:hAnsi="Arial" w:cs="Arial"/>
        </w:rPr>
      </w:pPr>
    </w:p>
    <w:p w14:paraId="021CD20D" w14:textId="77777777" w:rsidR="00A8304C" w:rsidRDefault="00A8304C" w:rsidP="00A8304C">
      <w:pPr>
        <w:rPr>
          <w:rFonts w:ascii="Arial" w:hAnsi="Arial" w:cs="Arial"/>
        </w:rPr>
      </w:pPr>
    </w:p>
    <w:p w14:paraId="7CB6BE23" w14:textId="77777777" w:rsidR="003E1250" w:rsidRDefault="003E1250" w:rsidP="00A8304C">
      <w:pPr>
        <w:rPr>
          <w:rFonts w:ascii="Arial" w:hAnsi="Arial" w:cs="Arial"/>
        </w:rPr>
        <w:sectPr w:rsidR="003E1250" w:rsidSect="0074588A">
          <w:headerReference w:type="default" r:id="rId9"/>
          <w:footerReference w:type="default" r:id="rId10"/>
          <w:pgSz w:w="12240" w:h="15840"/>
          <w:pgMar w:top="2127" w:right="1701" w:bottom="1417" w:left="1701" w:header="708" w:footer="708" w:gutter="0"/>
          <w:cols w:space="708"/>
          <w:docGrid w:linePitch="360"/>
        </w:sectPr>
      </w:pPr>
    </w:p>
    <w:p w14:paraId="26B2EBEE" w14:textId="5F2DD7A5" w:rsidR="00A8304C" w:rsidRDefault="00A8304C" w:rsidP="00A8304C">
      <w:pPr>
        <w:rPr>
          <w:rFonts w:ascii="Arial" w:hAnsi="Arial" w:cs="Arial"/>
        </w:rPr>
      </w:pPr>
    </w:p>
    <w:p w14:paraId="4322E162" w14:textId="77777777" w:rsidR="003E1250" w:rsidRPr="003E1250" w:rsidRDefault="003E1250" w:rsidP="003E1250">
      <w:pPr>
        <w:rPr>
          <w:rFonts w:ascii="Times New Roman" w:eastAsia="Times New Roman" w:hAnsi="Times New Roman" w:cs="Times New Roman"/>
          <w:lang w:eastAsia="es-ES_tradnl"/>
        </w:rPr>
      </w:pPr>
    </w:p>
    <w:p w14:paraId="08D16157" w14:textId="73C695B7" w:rsidR="00A8304C" w:rsidRDefault="00A8304C" w:rsidP="007D7B9D">
      <w:pPr>
        <w:jc w:val="center"/>
        <w:rPr>
          <w:rFonts w:ascii="Arial" w:hAnsi="Arial" w:cs="Arial"/>
        </w:rPr>
      </w:pPr>
    </w:p>
    <w:p w14:paraId="0139E38B" w14:textId="77777777" w:rsidR="00DB3AD9" w:rsidRDefault="00695D38" w:rsidP="007D7B9D">
      <w:pPr>
        <w:jc w:val="center"/>
        <w:rPr>
          <w:rFonts w:ascii="Arial" w:hAnsi="Arial" w:cs="Arial"/>
        </w:rPr>
        <w:sectPr w:rsidR="00DB3AD9" w:rsidSect="003E1250">
          <w:pgSz w:w="15840" w:h="12240" w:orient="landscape"/>
          <w:pgMar w:top="1701" w:right="2127" w:bottom="1701" w:left="1417" w:header="708" w:footer="708" w:gutter="0"/>
          <w:cols w:space="708"/>
          <w:docGrid w:linePitch="360"/>
        </w:sectPr>
      </w:pPr>
      <w:r>
        <w:rPr>
          <w:noProof/>
          <w:lang w:val="es-CO" w:eastAsia="es-CO"/>
        </w:rPr>
        <w:drawing>
          <wp:inline distT="0" distB="0" distL="0" distR="0" wp14:anchorId="6CD86FEA" wp14:editId="3A54B0B4">
            <wp:extent cx="8686165" cy="4340624"/>
            <wp:effectExtent l="0" t="0" r="635" b="3175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E9AD06D" w14:textId="5E0BAEB3" w:rsidR="00695D38" w:rsidRDefault="00695D38" w:rsidP="007D7B9D">
      <w:pPr>
        <w:jc w:val="center"/>
        <w:rPr>
          <w:rFonts w:ascii="Arial" w:hAnsi="Arial" w:cs="Arial"/>
        </w:rPr>
      </w:pPr>
    </w:p>
    <w:p w14:paraId="577022CB" w14:textId="77777777" w:rsidR="00DB3AD9" w:rsidRDefault="00DB3AD9" w:rsidP="007D7B9D">
      <w:pPr>
        <w:jc w:val="center"/>
        <w:rPr>
          <w:rFonts w:ascii="Arial" w:hAnsi="Arial" w:cs="Arial"/>
        </w:rPr>
      </w:pPr>
    </w:p>
    <w:p w14:paraId="116C5948" w14:textId="31EEEB25" w:rsidR="00DB3AD9" w:rsidRDefault="00DB3AD9" w:rsidP="00DB3AD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Con relación a la pregunta de otros temas de interés, se recibieron las siguientes 02 propuestas de temas:</w:t>
      </w:r>
    </w:p>
    <w:p w14:paraId="214A1406" w14:textId="77777777" w:rsidR="00DB3AD9" w:rsidRDefault="00DB3AD9" w:rsidP="00DB3AD9">
      <w:pPr>
        <w:jc w:val="both"/>
        <w:rPr>
          <w:rFonts w:ascii="Arial" w:hAnsi="Arial" w:cs="Arial"/>
        </w:rPr>
      </w:pPr>
    </w:p>
    <w:p w14:paraId="35BFB06D" w14:textId="5C1C1EFD" w:rsidR="00DB3AD9" w:rsidRDefault="00DB3AD9" w:rsidP="00DB3AD9">
      <w:pPr>
        <w:pStyle w:val="Prrafode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Crear alternativas de cómo llegar a las comunidades para que conozcan al IDPAC</w:t>
      </w:r>
    </w:p>
    <w:p w14:paraId="38B6E92C" w14:textId="5C0C9634" w:rsidR="00DB3AD9" w:rsidRDefault="00DB3AD9" w:rsidP="00DB3AD9">
      <w:pPr>
        <w:pStyle w:val="Prrafode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Vigilancia del arreglo, construcción de calles, edificios estatales y todo lo que se construye en Bogotá.</w:t>
      </w:r>
    </w:p>
    <w:p w14:paraId="76B0146D" w14:textId="77777777" w:rsidR="00DB3AD9" w:rsidRDefault="00DB3AD9" w:rsidP="00DB3AD9">
      <w:pPr>
        <w:jc w:val="both"/>
        <w:rPr>
          <w:rFonts w:ascii="Arial" w:hAnsi="Arial" w:cs="Arial"/>
        </w:rPr>
      </w:pPr>
    </w:p>
    <w:p w14:paraId="715FB245" w14:textId="5383A7C9" w:rsidR="00DB3AD9" w:rsidRPr="00DB3AD9" w:rsidRDefault="00DB3AD9" w:rsidP="00DB3AD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primer tema es de gran interés para el IDPAC y por ende fue incluido en la audiencia pública y será tenido en cuenta en las acciones de la entidad propuestas para la vigencia 2018. </w:t>
      </w:r>
    </w:p>
    <w:p w14:paraId="04A9D8A2" w14:textId="77777777" w:rsidR="00DB3AD9" w:rsidRDefault="00DB3AD9" w:rsidP="00DB3AD9">
      <w:pPr>
        <w:jc w:val="both"/>
        <w:rPr>
          <w:rFonts w:ascii="Arial" w:hAnsi="Arial" w:cs="Arial"/>
        </w:rPr>
      </w:pPr>
    </w:p>
    <w:p w14:paraId="03F3AA01" w14:textId="451AFE65" w:rsidR="00DB3AD9" w:rsidRDefault="00DB3AD9" w:rsidP="00DB3AD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concordancia con estos resultados, en la audiencia pública se presentaron los resultados de la gestión del IDPAC acorde con lo establecido en el Manual de Rendición de Cuentas y en la Estrategia de Rendición de Cuentas del IDPAC, y se hizo énfasis en las 4 temáticas en las que se manifestó un mayor interés:</w:t>
      </w:r>
    </w:p>
    <w:p w14:paraId="25E6551E" w14:textId="77777777" w:rsidR="00DB3AD9" w:rsidRDefault="00DB3AD9" w:rsidP="00DB3AD9">
      <w:pPr>
        <w:jc w:val="both"/>
        <w:rPr>
          <w:rFonts w:ascii="Arial" w:hAnsi="Arial" w:cs="Arial"/>
        </w:rPr>
      </w:pPr>
    </w:p>
    <w:p w14:paraId="397F631B" w14:textId="3A965A21" w:rsidR="00DB3AD9" w:rsidRDefault="00DB3AD9" w:rsidP="00DB3AD9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Fortalecimiento de los espacios de participación del IDPAC</w:t>
      </w:r>
    </w:p>
    <w:p w14:paraId="2302B995" w14:textId="2B971ED3" w:rsidR="00DB3AD9" w:rsidRDefault="00DB3AD9" w:rsidP="00DB3AD9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Fortalecimiento del enfoque de derechos, inclusión y participación</w:t>
      </w:r>
    </w:p>
    <w:p w14:paraId="6433A03D" w14:textId="4944118F" w:rsidR="00DB3AD9" w:rsidRDefault="00DB3AD9" w:rsidP="00DB3AD9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Atención en los espacios de participación IDPAC en las localidades</w:t>
      </w:r>
    </w:p>
    <w:p w14:paraId="15D937F3" w14:textId="2E4D6BE8" w:rsidR="00DB3AD9" w:rsidRDefault="00DB3AD9" w:rsidP="00DB3AD9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Fortalecimiento de las organizaciones comunales de primer y segundo grado</w:t>
      </w:r>
    </w:p>
    <w:p w14:paraId="0529C3E9" w14:textId="77777777" w:rsidR="00DB3AD9" w:rsidRDefault="00DB3AD9" w:rsidP="00DB3AD9">
      <w:pPr>
        <w:jc w:val="both"/>
        <w:rPr>
          <w:rFonts w:ascii="Arial" w:hAnsi="Arial" w:cs="Arial"/>
        </w:rPr>
      </w:pPr>
    </w:p>
    <w:p w14:paraId="10A8F326" w14:textId="52076C38" w:rsidR="00DB3AD9" w:rsidRDefault="00DB3AD9" w:rsidP="00DB3AD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Estos temas también se pueden consultar en el informe de gestión de la vigencia 2017, el cual se encuentra publicado en la página web oficial de la entidad.</w:t>
      </w:r>
    </w:p>
    <w:p w14:paraId="4E7AA48C" w14:textId="77777777" w:rsidR="00DB3AD9" w:rsidRDefault="00DB3AD9" w:rsidP="00DB3AD9">
      <w:pPr>
        <w:jc w:val="both"/>
        <w:rPr>
          <w:rFonts w:ascii="Arial" w:hAnsi="Arial" w:cs="Arial"/>
        </w:rPr>
      </w:pPr>
    </w:p>
    <w:p w14:paraId="5B3BEFE4" w14:textId="77777777" w:rsidR="008E5874" w:rsidRDefault="008E5874" w:rsidP="00DB3AD9">
      <w:pPr>
        <w:jc w:val="both"/>
        <w:rPr>
          <w:rFonts w:ascii="Arial" w:hAnsi="Arial" w:cs="Arial"/>
        </w:rPr>
      </w:pPr>
    </w:p>
    <w:p w14:paraId="01CF86A0" w14:textId="4F06CDC7" w:rsidR="00DB3AD9" w:rsidRPr="008E5874" w:rsidRDefault="008E5874" w:rsidP="008E587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E5874">
        <w:rPr>
          <w:rFonts w:ascii="Arial" w:hAnsi="Arial" w:cs="Arial"/>
          <w:b/>
        </w:rPr>
        <w:t>De los siguientes canales de comunicación ¿cuál o cuáles son de tu preferencia para recibir información sobre la gestión del IDPAC?</w:t>
      </w:r>
    </w:p>
    <w:p w14:paraId="51E165AF" w14:textId="77777777" w:rsidR="008E5874" w:rsidRDefault="008E5874" w:rsidP="008E5874">
      <w:pPr>
        <w:jc w:val="both"/>
        <w:rPr>
          <w:rFonts w:ascii="Arial" w:hAnsi="Arial" w:cs="Arial"/>
        </w:rPr>
      </w:pPr>
    </w:p>
    <w:p w14:paraId="41C26F7D" w14:textId="6E12C615" w:rsidR="008E5874" w:rsidRDefault="00DB346D" w:rsidP="00DB346D">
      <w:pPr>
        <w:jc w:val="center"/>
        <w:rPr>
          <w:rFonts w:ascii="Arial" w:hAnsi="Arial" w:cs="Arial"/>
        </w:rPr>
      </w:pPr>
      <w:r w:rsidRPr="00DB346D">
        <w:rPr>
          <w:rFonts w:ascii="Arial" w:hAnsi="Arial" w:cs="Arial"/>
          <w:noProof/>
          <w:lang w:val="es-CO" w:eastAsia="es-CO"/>
        </w:rPr>
        <w:drawing>
          <wp:inline distT="0" distB="0" distL="0" distR="0" wp14:anchorId="6145FFF9" wp14:editId="0ED59ED9">
            <wp:extent cx="4643814" cy="2024510"/>
            <wp:effectExtent l="0" t="0" r="4445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3216" cy="203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9A30" w14:textId="77777777" w:rsidR="00DB346D" w:rsidRDefault="00DB346D" w:rsidP="00DB346D">
      <w:pPr>
        <w:jc w:val="center"/>
        <w:rPr>
          <w:rFonts w:ascii="Arial" w:hAnsi="Arial" w:cs="Arial"/>
        </w:rPr>
      </w:pPr>
    </w:p>
    <w:p w14:paraId="6D96F57B" w14:textId="41D4D7FE" w:rsidR="00DB346D" w:rsidRDefault="00DB346D" w:rsidP="00DB346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Teniendo en cuenta los resultados obtenidos, los resultados de la gestión del IDPAC para la vigencia 2017 y la audiencia pública realizada el día 30 de diciembre de 2017, fueron transmitidos por redes sociales vía </w:t>
      </w:r>
      <w:proofErr w:type="spellStart"/>
      <w:r>
        <w:rPr>
          <w:rFonts w:ascii="Arial" w:hAnsi="Arial" w:cs="Arial"/>
        </w:rPr>
        <w:t>streaming</w:t>
      </w:r>
      <w:proofErr w:type="spellEnd"/>
      <w:r>
        <w:rPr>
          <w:rFonts w:ascii="Arial" w:hAnsi="Arial" w:cs="Arial"/>
        </w:rPr>
        <w:t>; y se tendrá en cuenta la preferencia del correo electrónico para que las áreas tengan presente este medio de contacto con los grupos de interés.</w:t>
      </w:r>
    </w:p>
    <w:p w14:paraId="7E52996D" w14:textId="77777777" w:rsidR="00DB346D" w:rsidRDefault="00DB346D" w:rsidP="00DB346D">
      <w:pPr>
        <w:jc w:val="both"/>
        <w:rPr>
          <w:rFonts w:ascii="Arial" w:hAnsi="Arial" w:cs="Arial"/>
        </w:rPr>
      </w:pPr>
    </w:p>
    <w:p w14:paraId="1D6F0C9C" w14:textId="77777777" w:rsidR="00DB346D" w:rsidRDefault="00DB346D" w:rsidP="00DB346D">
      <w:pPr>
        <w:jc w:val="both"/>
        <w:rPr>
          <w:rFonts w:ascii="Arial" w:hAnsi="Arial" w:cs="Arial"/>
        </w:rPr>
      </w:pPr>
    </w:p>
    <w:p w14:paraId="48436E46" w14:textId="08BB0EB7" w:rsidR="00DB346D" w:rsidRPr="00DB346D" w:rsidRDefault="00DB346D" w:rsidP="00DB346D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DB346D">
        <w:rPr>
          <w:rFonts w:ascii="Arial" w:hAnsi="Arial" w:cs="Arial"/>
          <w:b/>
        </w:rPr>
        <w:t>¿Te sientes satisfecho con la forma en la que te contamos nuestra gestión?</w:t>
      </w:r>
    </w:p>
    <w:p w14:paraId="0B3030DD" w14:textId="77777777" w:rsidR="00DB346D" w:rsidRDefault="00DB346D" w:rsidP="00DB346D">
      <w:pPr>
        <w:jc w:val="both"/>
        <w:rPr>
          <w:rFonts w:ascii="Arial" w:hAnsi="Arial" w:cs="Arial"/>
        </w:rPr>
      </w:pPr>
    </w:p>
    <w:p w14:paraId="6CE146BB" w14:textId="7BBA5824" w:rsidR="00DB346D" w:rsidRDefault="00DB346D" w:rsidP="00DB346D">
      <w:pPr>
        <w:jc w:val="both"/>
        <w:rPr>
          <w:rFonts w:ascii="Arial" w:hAnsi="Arial" w:cs="Arial"/>
        </w:rPr>
      </w:pPr>
      <w:r w:rsidRPr="00DB346D">
        <w:rPr>
          <w:rFonts w:ascii="Arial" w:hAnsi="Arial" w:cs="Arial"/>
          <w:noProof/>
          <w:lang w:val="es-CO" w:eastAsia="es-CO"/>
        </w:rPr>
        <w:drawing>
          <wp:inline distT="0" distB="0" distL="0" distR="0" wp14:anchorId="36D460CE" wp14:editId="205C994E">
            <wp:extent cx="5612130" cy="2272030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207E0" w14:textId="77777777" w:rsidR="00DB346D" w:rsidRDefault="00DB346D" w:rsidP="00DB346D">
      <w:pPr>
        <w:jc w:val="both"/>
        <w:rPr>
          <w:rFonts w:ascii="Arial" w:hAnsi="Arial" w:cs="Arial"/>
        </w:rPr>
      </w:pPr>
    </w:p>
    <w:p w14:paraId="19C54525" w14:textId="52E580B7" w:rsidR="00DB346D" w:rsidRDefault="00DB346D" w:rsidP="00DB346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cuanto </w:t>
      </w:r>
      <w:r w:rsidR="00095D5C">
        <w:rPr>
          <w:rFonts w:ascii="Arial" w:hAnsi="Arial" w:cs="Arial"/>
        </w:rPr>
        <w:t>a esta pregunta se obtuvo como resultado que el 60,9% de las personas que participaron se sienten satisfechas con la forma en que el IDPAC da a conocer su gestión.</w:t>
      </w:r>
    </w:p>
    <w:p w14:paraId="2CC117A1" w14:textId="77777777" w:rsidR="009970CC" w:rsidRDefault="009970CC" w:rsidP="00DB346D">
      <w:pPr>
        <w:jc w:val="both"/>
        <w:rPr>
          <w:rFonts w:ascii="Arial" w:hAnsi="Arial" w:cs="Arial"/>
        </w:rPr>
      </w:pPr>
    </w:p>
    <w:p w14:paraId="1F157762" w14:textId="53340345" w:rsidR="009970CC" w:rsidRPr="009970CC" w:rsidRDefault="009970CC" w:rsidP="009970CC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</w:rPr>
        <w:t>Teniendo en cuenta esta información y acorde con lo establecido en la normatividad vigente y en el Manual Único de Rendición de Cuentas se realizó el informe de la gestión de la vigencia 2017, el cual fue publicado el día 26 de dic</w:t>
      </w:r>
      <w:r w:rsidR="00535CA6">
        <w:rPr>
          <w:rFonts w:ascii="Arial" w:hAnsi="Arial" w:cs="Arial"/>
        </w:rPr>
        <w:t>iembre de 2017 en la página web, el cual</w:t>
      </w:r>
      <w:r w:rsidRPr="009970CC">
        <w:rPr>
          <w:rFonts w:ascii="Arial" w:hAnsi="Arial" w:cs="Arial"/>
          <w:lang w:val="es-ES"/>
        </w:rPr>
        <w:t xml:space="preserve"> contiene los resultados alcanzados en la vigencia 201</w:t>
      </w:r>
      <w:r w:rsidR="00535CA6">
        <w:rPr>
          <w:rFonts w:ascii="Arial" w:hAnsi="Arial" w:cs="Arial"/>
          <w:lang w:val="es-ES"/>
        </w:rPr>
        <w:t>7</w:t>
      </w:r>
      <w:r w:rsidRPr="009970CC">
        <w:rPr>
          <w:rFonts w:ascii="Arial" w:hAnsi="Arial" w:cs="Arial"/>
          <w:lang w:val="es-ES"/>
        </w:rPr>
        <w:t xml:space="preserve"> y los retos a enfrentar en la vigencia 201</w:t>
      </w:r>
      <w:r w:rsidR="00535CA6">
        <w:rPr>
          <w:rFonts w:ascii="Arial" w:hAnsi="Arial" w:cs="Arial"/>
          <w:lang w:val="es-ES"/>
        </w:rPr>
        <w:t>8</w:t>
      </w:r>
      <w:r w:rsidRPr="009970CC">
        <w:rPr>
          <w:rFonts w:ascii="Arial" w:hAnsi="Arial" w:cs="Arial"/>
          <w:lang w:val="es-ES"/>
        </w:rPr>
        <w:t xml:space="preserve">, con base en este informe se realizó </w:t>
      </w:r>
      <w:r w:rsidR="00535CA6">
        <w:rPr>
          <w:rFonts w:ascii="Arial" w:hAnsi="Arial" w:cs="Arial"/>
          <w:lang w:val="es-ES"/>
        </w:rPr>
        <w:t>la audiencia pública</w:t>
      </w:r>
      <w:r w:rsidRPr="009970CC">
        <w:rPr>
          <w:rFonts w:ascii="Arial" w:hAnsi="Arial" w:cs="Arial"/>
          <w:lang w:val="es-ES"/>
        </w:rPr>
        <w:t xml:space="preserve"> a través de </w:t>
      </w:r>
      <w:proofErr w:type="spellStart"/>
      <w:r w:rsidRPr="009970CC">
        <w:rPr>
          <w:rFonts w:ascii="Arial" w:hAnsi="Arial" w:cs="Arial"/>
          <w:lang w:val="es-ES"/>
        </w:rPr>
        <w:t>streaming</w:t>
      </w:r>
      <w:proofErr w:type="spellEnd"/>
      <w:r w:rsidRPr="009970CC">
        <w:rPr>
          <w:rFonts w:ascii="Arial" w:hAnsi="Arial" w:cs="Arial"/>
          <w:lang w:val="es-ES"/>
        </w:rPr>
        <w:t>.</w:t>
      </w:r>
    </w:p>
    <w:p w14:paraId="3CE5BDF7" w14:textId="77777777" w:rsidR="009970CC" w:rsidRDefault="009970CC" w:rsidP="00DB346D">
      <w:pPr>
        <w:jc w:val="both"/>
        <w:rPr>
          <w:rFonts w:ascii="Arial" w:hAnsi="Arial" w:cs="Arial"/>
        </w:rPr>
      </w:pPr>
    </w:p>
    <w:p w14:paraId="4D23A13E" w14:textId="77777777" w:rsidR="009970CC" w:rsidRDefault="009970CC" w:rsidP="009970CC">
      <w:pPr>
        <w:jc w:val="both"/>
        <w:rPr>
          <w:rFonts w:ascii="Arial" w:hAnsi="Arial" w:cs="Arial"/>
          <w:lang w:val="es-ES"/>
        </w:rPr>
      </w:pPr>
      <w:r w:rsidRPr="009970CC">
        <w:rPr>
          <w:rFonts w:ascii="Arial" w:hAnsi="Arial" w:cs="Arial"/>
          <w:lang w:val="es-ES"/>
        </w:rPr>
        <w:t>Para la vigencia 2018, se pondrá a disposición de la ciudadanía los mecanismos de participación ciudadana y rendición de cuentas ya establecidos y se explorarán nuevos mecanismos de participación y rendición de cuentas con el propósito de fortalecer la interacción del IDPAC con su población objetivo y con la ciudadanía en general.</w:t>
      </w:r>
    </w:p>
    <w:p w14:paraId="06B44765" w14:textId="77777777" w:rsidR="009970CC" w:rsidRPr="009970CC" w:rsidRDefault="009970CC" w:rsidP="00DB346D">
      <w:pPr>
        <w:jc w:val="both"/>
        <w:rPr>
          <w:rFonts w:ascii="Arial" w:hAnsi="Arial" w:cs="Arial"/>
          <w:lang w:val="es-ES"/>
        </w:rPr>
      </w:pPr>
    </w:p>
    <w:sectPr w:rsidR="009970CC" w:rsidRPr="009970CC" w:rsidSect="00DB3AD9">
      <w:pgSz w:w="12240" w:h="15840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497C9A" w14:textId="77777777" w:rsidR="004F4EAB" w:rsidRDefault="004F4EAB" w:rsidP="00851B7D">
      <w:r>
        <w:separator/>
      </w:r>
    </w:p>
  </w:endnote>
  <w:endnote w:type="continuationSeparator" w:id="0">
    <w:p w14:paraId="542CB02F" w14:textId="77777777" w:rsidR="004F4EAB" w:rsidRDefault="004F4EAB" w:rsidP="00851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B49FFC" w14:textId="46C134FE" w:rsidR="00F66483" w:rsidRDefault="003E1250">
    <w:pPr>
      <w:pStyle w:val="Piedepgina"/>
    </w:pPr>
    <w:r w:rsidRPr="00F66483"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08A43021" wp14:editId="058462B2">
          <wp:simplePos x="0" y="0"/>
          <wp:positionH relativeFrom="column">
            <wp:posOffset>-1138245</wp:posOffset>
          </wp:positionH>
          <wp:positionV relativeFrom="paragraph">
            <wp:posOffset>-1079500</wp:posOffset>
          </wp:positionV>
          <wp:extent cx="7746302" cy="1658620"/>
          <wp:effectExtent l="0" t="0" r="127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6302" cy="165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E2D7B6" w14:textId="77777777" w:rsidR="004F4EAB" w:rsidRDefault="004F4EAB" w:rsidP="00851B7D">
      <w:r>
        <w:separator/>
      </w:r>
    </w:p>
  </w:footnote>
  <w:footnote w:type="continuationSeparator" w:id="0">
    <w:p w14:paraId="41712378" w14:textId="77777777" w:rsidR="004F4EAB" w:rsidRDefault="004F4EAB" w:rsidP="00851B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2E72D" w14:textId="4C14DD07" w:rsidR="00A97B76" w:rsidRDefault="00F66483" w:rsidP="00DB3AD9">
    <w:pPr>
      <w:pStyle w:val="Encabezado"/>
      <w:tabs>
        <w:tab w:val="clear" w:pos="4252"/>
        <w:tab w:val="clear" w:pos="8504"/>
        <w:tab w:val="left" w:pos="5492"/>
      </w:tabs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2F9B20C0" wp14:editId="36DA65B5">
          <wp:simplePos x="0" y="0"/>
          <wp:positionH relativeFrom="column">
            <wp:posOffset>-1069783</wp:posOffset>
          </wp:positionH>
          <wp:positionV relativeFrom="paragraph">
            <wp:posOffset>-443230</wp:posOffset>
          </wp:positionV>
          <wp:extent cx="7658460" cy="163957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460" cy="163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4910">
      <w:rPr>
        <w:noProof/>
        <w:lang w:val="es-ES"/>
      </w:rPr>
      <w:t xml:space="preserve"> </w:t>
    </w:r>
    <w:r w:rsidR="00DB3AD9">
      <w:rPr>
        <w:noProof/>
        <w:lang w:val="es-E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F5022"/>
    <w:multiLevelType w:val="hybridMultilevel"/>
    <w:tmpl w:val="E33874BA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AF202F"/>
    <w:multiLevelType w:val="hybridMultilevel"/>
    <w:tmpl w:val="5412951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0E1168"/>
    <w:multiLevelType w:val="hybridMultilevel"/>
    <w:tmpl w:val="9AF64BD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7B4D67"/>
    <w:multiLevelType w:val="hybridMultilevel"/>
    <w:tmpl w:val="4A0AB96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B7D"/>
    <w:rsid w:val="00066F22"/>
    <w:rsid w:val="00095D5C"/>
    <w:rsid w:val="000B6026"/>
    <w:rsid w:val="001F45B1"/>
    <w:rsid w:val="003850C2"/>
    <w:rsid w:val="003E1250"/>
    <w:rsid w:val="004848F8"/>
    <w:rsid w:val="004957FE"/>
    <w:rsid w:val="004F4EAB"/>
    <w:rsid w:val="00523506"/>
    <w:rsid w:val="00535CA6"/>
    <w:rsid w:val="00574107"/>
    <w:rsid w:val="005F3493"/>
    <w:rsid w:val="00695D38"/>
    <w:rsid w:val="006B0F70"/>
    <w:rsid w:val="006C631D"/>
    <w:rsid w:val="00716D48"/>
    <w:rsid w:val="0074588A"/>
    <w:rsid w:val="00746329"/>
    <w:rsid w:val="007C370B"/>
    <w:rsid w:val="007C4273"/>
    <w:rsid w:val="007D7B9D"/>
    <w:rsid w:val="00823D6E"/>
    <w:rsid w:val="00841A30"/>
    <w:rsid w:val="00851B7D"/>
    <w:rsid w:val="008A4781"/>
    <w:rsid w:val="008E5874"/>
    <w:rsid w:val="008F2AEE"/>
    <w:rsid w:val="00992192"/>
    <w:rsid w:val="009970CC"/>
    <w:rsid w:val="00A8304C"/>
    <w:rsid w:val="00A97B76"/>
    <w:rsid w:val="00AF783D"/>
    <w:rsid w:val="00B70A07"/>
    <w:rsid w:val="00CD5FF4"/>
    <w:rsid w:val="00D74410"/>
    <w:rsid w:val="00DB346D"/>
    <w:rsid w:val="00DB3AD9"/>
    <w:rsid w:val="00DF4572"/>
    <w:rsid w:val="00E21438"/>
    <w:rsid w:val="00F24910"/>
    <w:rsid w:val="00F25D77"/>
    <w:rsid w:val="00F66483"/>
    <w:rsid w:val="00FE1CB2"/>
    <w:rsid w:val="00FF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5BBB62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CO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1B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1B7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851B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B7D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1B7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1B7D"/>
    <w:rPr>
      <w:rFonts w:ascii="Lucida Grande" w:hAnsi="Lucida Grande" w:cs="Lucida Grande"/>
      <w:sz w:val="18"/>
      <w:szCs w:val="18"/>
      <w:lang w:val="es-ES_tradnl"/>
    </w:rPr>
  </w:style>
  <w:style w:type="character" w:styleId="Hipervnculo">
    <w:name w:val="Hyperlink"/>
    <w:basedOn w:val="Fuentedeprrafopredeter"/>
    <w:uiPriority w:val="99"/>
    <w:unhideWhenUsed/>
    <w:rsid w:val="007C370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848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CO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1B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1B7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851B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B7D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1B7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1B7D"/>
    <w:rPr>
      <w:rFonts w:ascii="Lucida Grande" w:hAnsi="Lucida Grande" w:cs="Lucida Grande"/>
      <w:sz w:val="18"/>
      <w:szCs w:val="18"/>
      <w:lang w:val="es-ES_tradnl"/>
    </w:rPr>
  </w:style>
  <w:style w:type="character" w:styleId="Hipervnculo">
    <w:name w:val="Hyperlink"/>
    <w:basedOn w:val="Fuentedeprrafopredeter"/>
    <w:uiPriority w:val="99"/>
    <w:unhideWhenUsed/>
    <w:rsid w:val="007C370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848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Paola\Google%20Drive\IDPAC%20-%20Paola%20Toledo%20A\Plan%20Anticorrupcio&#769;n%20y%20de%20Atencio&#769;n%20al%20Ciudadano\PAAC%202017\III%20Seguimiento%20PAAC\Seguimiento%20Plan%20anticorrupcio&#769;n%20OAP%20V1_P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774125183504601"/>
          <c:y val="0.14144578313253001"/>
          <c:w val="0.447058748164954"/>
          <c:h val="0.7627598357434239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Hoja2!$B$2:$B$16</c:f>
              <c:strCache>
                <c:ptCount val="15"/>
                <c:pt idx="0">
                  <c:v>Otra</c:v>
                </c:pt>
                <c:pt idx="1">
                  <c:v>Gestión de PQRS y de los hallazgos identificados por los entes de control internos y externos</c:v>
                </c:pt>
                <c:pt idx="2">
                  <c:v>Atención en los espacios de participación IDPAC en las localidades</c:v>
                </c:pt>
                <c:pt idx="3">
                  <c:v>Resultados proceso de contratación</c:v>
                </c:pt>
                <c:pt idx="4">
                  <c:v>Resultados y oferta de programas de formación en participación</c:v>
                </c:pt>
                <c:pt idx="5">
                  <c:v>Ejecución presupuestal</c:v>
                </c:pt>
                <c:pt idx="6">
                  <c:v>Gestión de la Comisión Intersectorial de Participación</c:v>
                </c:pt>
                <c:pt idx="7">
                  <c:v>Ejercicio de inspección, vigilancia y control de las organizaciones comunales</c:v>
                </c:pt>
                <c:pt idx="8">
                  <c:v>Fortalecimiento a nuevas expresiones organizativas</c:v>
                </c:pt>
                <c:pt idx="9">
                  <c:v>Resultados Bogotá abierta</c:v>
                </c:pt>
                <c:pt idx="10">
                  <c:v>Resultados Uno más Uno = Todos, Una más Una = Todas</c:v>
                </c:pt>
                <c:pt idx="11">
                  <c:v>Resultados Bogotá Líder</c:v>
                </c:pt>
                <c:pt idx="12">
                  <c:v>Fortalecimiento de las organizaciones comunales de primer y segundo grado</c:v>
                </c:pt>
                <c:pt idx="13">
                  <c:v>Fortalecimiento del enfoque de derechos, inclusión y participación</c:v>
                </c:pt>
                <c:pt idx="14">
                  <c:v>Fortalecimiento de los espacios de participación IDPAC</c:v>
                </c:pt>
              </c:strCache>
            </c:strRef>
          </c:cat>
          <c:val>
            <c:numRef>
              <c:f>Hoja2!$C$2:$C$16</c:f>
              <c:numCache>
                <c:formatCode>0.00%</c:formatCode>
                <c:ptCount val="15"/>
                <c:pt idx="0">
                  <c:v>2.3809523809523801E-2</c:v>
                </c:pt>
                <c:pt idx="1">
                  <c:v>4.7619047619047603E-2</c:v>
                </c:pt>
                <c:pt idx="2">
                  <c:v>0.119047619047619</c:v>
                </c:pt>
                <c:pt idx="3">
                  <c:v>2.3809523809523801E-2</c:v>
                </c:pt>
                <c:pt idx="4">
                  <c:v>5.95238095238095E-2</c:v>
                </c:pt>
                <c:pt idx="5">
                  <c:v>5.95238095238095E-2</c:v>
                </c:pt>
                <c:pt idx="6">
                  <c:v>2.3809523809523801E-2</c:v>
                </c:pt>
                <c:pt idx="7">
                  <c:v>7.1428571428571397E-2</c:v>
                </c:pt>
                <c:pt idx="8">
                  <c:v>2.3809523809523801E-2</c:v>
                </c:pt>
                <c:pt idx="9">
                  <c:v>5.95238095238095E-2</c:v>
                </c:pt>
                <c:pt idx="10">
                  <c:v>8.3333333333333301E-2</c:v>
                </c:pt>
                <c:pt idx="11">
                  <c:v>3.5714285714285698E-2</c:v>
                </c:pt>
                <c:pt idx="12">
                  <c:v>0.107142857142857</c:v>
                </c:pt>
                <c:pt idx="13">
                  <c:v>0.119047619047619</c:v>
                </c:pt>
                <c:pt idx="14">
                  <c:v>0.14285714285714299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9098624"/>
        <c:axId val="112521216"/>
      </c:barChart>
      <c:catAx>
        <c:axId val="79098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Hebrew" charset="-79"/>
                <a:ea typeface="Arial Hebrew" charset="-79"/>
                <a:cs typeface="Arial Hebrew" charset="-79"/>
              </a:defRPr>
            </a:pPr>
            <a:endParaRPr lang="es-CO"/>
          </a:p>
        </c:txPr>
        <c:crossAx val="112521216"/>
        <c:crosses val="autoZero"/>
        <c:auto val="1"/>
        <c:lblAlgn val="ctr"/>
        <c:lblOffset val="100"/>
        <c:noMultiLvlLbl val="0"/>
      </c:catAx>
      <c:valAx>
        <c:axId val="112521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9098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842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IDPAC_EDICION</dc:creator>
  <cp:lastModifiedBy>Willington Granados Herrera</cp:lastModifiedBy>
  <cp:revision>2</cp:revision>
  <cp:lastPrinted>2016-01-04T21:28:00Z</cp:lastPrinted>
  <dcterms:created xsi:type="dcterms:W3CDTF">2019-08-02T15:32:00Z</dcterms:created>
  <dcterms:modified xsi:type="dcterms:W3CDTF">2019-08-02T15:32:00Z</dcterms:modified>
</cp:coreProperties>
</file>