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2EF" w:rsidRDefault="001062EF" w:rsidP="0026563F">
      <w:pPr>
        <w:jc w:val="center"/>
        <w:rPr>
          <w:rFonts w:ascii="Century Gothic" w:hAnsi="Century Gothic"/>
          <w:b/>
        </w:rPr>
      </w:pPr>
    </w:p>
    <w:p w:rsidR="00D3057C" w:rsidRDefault="00D3057C" w:rsidP="0026563F">
      <w:pPr>
        <w:jc w:val="center"/>
        <w:rPr>
          <w:rFonts w:ascii="Century Gothic" w:hAnsi="Century Gothic"/>
          <w:b/>
        </w:rPr>
      </w:pPr>
    </w:p>
    <w:p w:rsidR="001062EF" w:rsidRDefault="0026563F" w:rsidP="0026563F">
      <w:pPr>
        <w:contextualSpacing/>
        <w:jc w:val="center"/>
        <w:rPr>
          <w:rFonts w:ascii="Century Gothic" w:hAnsi="Century Gothic"/>
          <w:b/>
          <w:sz w:val="26"/>
          <w:szCs w:val="26"/>
        </w:rPr>
      </w:pPr>
      <w:r w:rsidRPr="001062EF">
        <w:rPr>
          <w:rFonts w:ascii="Century Gothic" w:hAnsi="Century Gothic"/>
          <w:b/>
          <w:sz w:val="26"/>
          <w:szCs w:val="26"/>
        </w:rPr>
        <w:t xml:space="preserve">CUMPLIMIENTO DEL </w:t>
      </w:r>
      <w:r w:rsidR="001062EF">
        <w:rPr>
          <w:rFonts w:ascii="Century Gothic" w:hAnsi="Century Gothic"/>
          <w:b/>
          <w:sz w:val="26"/>
          <w:szCs w:val="26"/>
        </w:rPr>
        <w:t xml:space="preserve">PLAN ESTRATÉGICO INSTITUCIONAL </w:t>
      </w:r>
    </w:p>
    <w:p w:rsidR="0026563F" w:rsidRDefault="001062EF" w:rsidP="0026563F">
      <w:pPr>
        <w:contextualSpacing/>
        <w:jc w:val="center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I</w:t>
      </w:r>
      <w:r w:rsidR="0026563F" w:rsidRPr="001062EF">
        <w:rPr>
          <w:rFonts w:ascii="Century Gothic" w:hAnsi="Century Gothic"/>
          <w:b/>
          <w:sz w:val="26"/>
          <w:szCs w:val="26"/>
        </w:rPr>
        <w:t>DPAC – 201</w:t>
      </w:r>
      <w:r w:rsidR="00707E8B">
        <w:rPr>
          <w:rFonts w:ascii="Century Gothic" w:hAnsi="Century Gothic"/>
          <w:b/>
          <w:sz w:val="26"/>
          <w:szCs w:val="26"/>
        </w:rPr>
        <w:t>7</w:t>
      </w:r>
    </w:p>
    <w:p w:rsidR="00D3057C" w:rsidRDefault="00D3057C" w:rsidP="0026563F">
      <w:pPr>
        <w:contextualSpacing/>
        <w:jc w:val="center"/>
        <w:rPr>
          <w:rFonts w:ascii="Century Gothic" w:hAnsi="Century Gothic"/>
          <w:b/>
          <w:sz w:val="26"/>
          <w:szCs w:val="26"/>
        </w:rPr>
      </w:pPr>
    </w:p>
    <w:p w:rsidR="0026563F" w:rsidRPr="001062EF" w:rsidRDefault="0026563F" w:rsidP="0026563F">
      <w:pPr>
        <w:contextualSpacing/>
        <w:jc w:val="both"/>
        <w:rPr>
          <w:rFonts w:ascii="Century Gothic" w:hAnsi="Century Gothic"/>
          <w:sz w:val="26"/>
          <w:szCs w:val="26"/>
        </w:rPr>
      </w:pPr>
    </w:p>
    <w:p w:rsidR="00BC6D30" w:rsidRDefault="0026563F" w:rsidP="0026563F">
      <w:pPr>
        <w:contextualSpacing/>
        <w:jc w:val="both"/>
        <w:rPr>
          <w:rFonts w:ascii="Century Gothic" w:hAnsi="Century Gothic"/>
          <w:sz w:val="26"/>
          <w:szCs w:val="26"/>
        </w:rPr>
      </w:pPr>
      <w:r w:rsidRPr="001062EF">
        <w:rPr>
          <w:rFonts w:ascii="Century Gothic" w:hAnsi="Century Gothic"/>
          <w:sz w:val="26"/>
          <w:szCs w:val="26"/>
        </w:rPr>
        <w:t xml:space="preserve">El Plan Estratégico Institucional </w:t>
      </w:r>
      <w:r w:rsidR="00784E1B">
        <w:rPr>
          <w:rFonts w:ascii="Century Gothic" w:hAnsi="Century Gothic"/>
          <w:sz w:val="26"/>
          <w:szCs w:val="26"/>
        </w:rPr>
        <w:t xml:space="preserve">(PEI) </w:t>
      </w:r>
      <w:r w:rsidRPr="001062EF">
        <w:rPr>
          <w:rFonts w:ascii="Century Gothic" w:hAnsi="Century Gothic"/>
          <w:sz w:val="26"/>
          <w:szCs w:val="26"/>
        </w:rPr>
        <w:t xml:space="preserve">del IDPAC para el periodo 2016-2020 es la herramienta que enmarca el quehacer misional y de apoyo para impulsar el cumplimiento de metas institucionales y de gobierno en materia de participación; en la medida que organiza y focaliza de manera sistemática las acciones de la Entidad, define los objetivos, estrategias y metas, el tiempo para lograrlo, así como la asignación de recursos y responsabilidades. </w:t>
      </w:r>
    </w:p>
    <w:p w:rsidR="00BC6D30" w:rsidRDefault="00BC6D30" w:rsidP="0026563F">
      <w:pPr>
        <w:contextualSpacing/>
        <w:jc w:val="both"/>
        <w:rPr>
          <w:rFonts w:ascii="Century Gothic" w:hAnsi="Century Gothic"/>
          <w:sz w:val="26"/>
          <w:szCs w:val="26"/>
        </w:rPr>
      </w:pPr>
    </w:p>
    <w:p w:rsidR="00816ADE" w:rsidRDefault="0026563F" w:rsidP="0026563F">
      <w:pPr>
        <w:contextualSpacing/>
        <w:jc w:val="both"/>
        <w:rPr>
          <w:rFonts w:ascii="Century Gothic" w:hAnsi="Century Gothic"/>
          <w:sz w:val="26"/>
          <w:szCs w:val="26"/>
        </w:rPr>
      </w:pPr>
      <w:r w:rsidRPr="001062EF">
        <w:rPr>
          <w:rFonts w:ascii="Century Gothic" w:hAnsi="Century Gothic"/>
          <w:sz w:val="26"/>
          <w:szCs w:val="26"/>
        </w:rPr>
        <w:t xml:space="preserve">El Instituto Distrital de la Participación y Acción Comunal – IDPAC ha definido seis (6) Objetivos Estratégicos </w:t>
      </w:r>
      <w:r w:rsidR="001E52E6">
        <w:rPr>
          <w:rFonts w:ascii="Century Gothic" w:hAnsi="Century Gothic"/>
          <w:sz w:val="26"/>
          <w:szCs w:val="26"/>
        </w:rPr>
        <w:t xml:space="preserve">dentro </w:t>
      </w:r>
      <w:r w:rsidR="00784E1B">
        <w:rPr>
          <w:rFonts w:ascii="Century Gothic" w:hAnsi="Century Gothic"/>
          <w:sz w:val="26"/>
          <w:szCs w:val="26"/>
        </w:rPr>
        <w:t>de su PEI</w:t>
      </w:r>
      <w:r w:rsidR="001E52E6">
        <w:rPr>
          <w:rFonts w:ascii="Century Gothic" w:hAnsi="Century Gothic"/>
          <w:sz w:val="26"/>
          <w:szCs w:val="26"/>
        </w:rPr>
        <w:t xml:space="preserve">. </w:t>
      </w:r>
      <w:r w:rsidR="00FC5831">
        <w:rPr>
          <w:rFonts w:ascii="Century Gothic" w:hAnsi="Century Gothic"/>
          <w:sz w:val="26"/>
          <w:szCs w:val="26"/>
        </w:rPr>
        <w:t>L</w:t>
      </w:r>
      <w:r w:rsidR="001E52E6">
        <w:rPr>
          <w:rFonts w:ascii="Century Gothic" w:hAnsi="Century Gothic"/>
          <w:sz w:val="26"/>
          <w:szCs w:val="26"/>
        </w:rPr>
        <w:t xml:space="preserve">os objetivos </w:t>
      </w:r>
      <w:r w:rsidR="00FC5831">
        <w:rPr>
          <w:rFonts w:ascii="Century Gothic" w:hAnsi="Century Gothic"/>
          <w:sz w:val="26"/>
          <w:szCs w:val="26"/>
        </w:rPr>
        <w:t xml:space="preserve">estratégicos </w:t>
      </w:r>
      <w:r w:rsidRPr="001062EF">
        <w:rPr>
          <w:rFonts w:ascii="Century Gothic" w:hAnsi="Century Gothic"/>
          <w:sz w:val="26"/>
          <w:szCs w:val="26"/>
        </w:rPr>
        <w:t>orientan y detallan el camino traz</w:t>
      </w:r>
      <w:r w:rsidR="00C00B24">
        <w:rPr>
          <w:rFonts w:ascii="Century Gothic" w:hAnsi="Century Gothic"/>
          <w:sz w:val="26"/>
          <w:szCs w:val="26"/>
        </w:rPr>
        <w:t>ado para el logro de su visión</w:t>
      </w:r>
      <w:r w:rsidR="00FC5831">
        <w:rPr>
          <w:rFonts w:ascii="Century Gothic" w:hAnsi="Century Gothic"/>
          <w:sz w:val="26"/>
          <w:szCs w:val="26"/>
        </w:rPr>
        <w:t xml:space="preserve">. </w:t>
      </w:r>
    </w:p>
    <w:p w:rsidR="00816ADE" w:rsidRDefault="00816ADE" w:rsidP="0026563F">
      <w:pPr>
        <w:contextualSpacing/>
        <w:jc w:val="both"/>
        <w:rPr>
          <w:rFonts w:ascii="Century Gothic" w:hAnsi="Century Gothic"/>
          <w:sz w:val="26"/>
          <w:szCs w:val="26"/>
        </w:rPr>
      </w:pPr>
    </w:p>
    <w:p w:rsidR="00C00B24" w:rsidRDefault="00FC5831" w:rsidP="0026563F">
      <w:pPr>
        <w:contextualSpacing/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Son Objetivos estratégicos del IDPAC: </w:t>
      </w:r>
      <w:r w:rsidR="00C00B24">
        <w:rPr>
          <w:rFonts w:ascii="Century Gothic" w:hAnsi="Century Gothic"/>
          <w:sz w:val="26"/>
          <w:szCs w:val="26"/>
        </w:rPr>
        <w:t xml:space="preserve"> </w:t>
      </w:r>
      <w:r w:rsidR="00C00B24" w:rsidRPr="00C00B24">
        <w:rPr>
          <w:rFonts w:ascii="Century Gothic" w:hAnsi="Century Gothic"/>
          <w:sz w:val="26"/>
          <w:szCs w:val="26"/>
        </w:rPr>
        <w:t>Modernizar la participación en el Distrito Capital</w:t>
      </w:r>
      <w:r w:rsidR="00C00B24">
        <w:rPr>
          <w:rFonts w:ascii="Century Gothic" w:hAnsi="Century Gothic"/>
          <w:sz w:val="26"/>
          <w:szCs w:val="26"/>
        </w:rPr>
        <w:t xml:space="preserve">, </w:t>
      </w:r>
      <w:r w:rsidR="00C00B24" w:rsidRPr="00C00B24">
        <w:rPr>
          <w:rFonts w:ascii="Century Gothic" w:hAnsi="Century Gothic"/>
          <w:sz w:val="26"/>
          <w:szCs w:val="26"/>
        </w:rPr>
        <w:t>Desarrollar conocimiento y capacidades de la ciudadanía y sus organizaciones para ejercer el derecho a participar</w:t>
      </w:r>
      <w:r w:rsidR="00C00B24">
        <w:rPr>
          <w:rFonts w:ascii="Century Gothic" w:hAnsi="Century Gothic"/>
          <w:sz w:val="26"/>
          <w:szCs w:val="26"/>
        </w:rPr>
        <w:t xml:space="preserve">, </w:t>
      </w:r>
      <w:r w:rsidR="00A27EE7" w:rsidRPr="00A27EE7">
        <w:rPr>
          <w:rFonts w:ascii="Century Gothic" w:hAnsi="Century Gothic"/>
          <w:sz w:val="26"/>
          <w:szCs w:val="26"/>
        </w:rPr>
        <w:t>Fortalecer la gestión de la ciudadanía y sus organizaciones desde procesos, espacios e instancias de participación en el nivel local y distrital</w:t>
      </w:r>
      <w:r w:rsidR="00A27EE7">
        <w:rPr>
          <w:rFonts w:ascii="Century Gothic" w:hAnsi="Century Gothic"/>
          <w:sz w:val="26"/>
          <w:szCs w:val="26"/>
        </w:rPr>
        <w:t xml:space="preserve">, </w:t>
      </w:r>
      <w:r w:rsidR="00A27EE7" w:rsidRPr="00A27EE7">
        <w:rPr>
          <w:rFonts w:ascii="Century Gothic" w:hAnsi="Century Gothic"/>
          <w:sz w:val="26"/>
          <w:szCs w:val="26"/>
        </w:rPr>
        <w:t>Adecuar y mantener el Sistema Integrado de Gestión del IDPAC</w:t>
      </w:r>
      <w:r w:rsidR="00A27EE7">
        <w:rPr>
          <w:rFonts w:ascii="Century Gothic" w:hAnsi="Century Gothic"/>
          <w:sz w:val="26"/>
          <w:szCs w:val="26"/>
        </w:rPr>
        <w:t xml:space="preserve">, </w:t>
      </w:r>
      <w:r w:rsidR="00A27EE7" w:rsidRPr="00A27EE7">
        <w:rPr>
          <w:rFonts w:ascii="Century Gothic" w:hAnsi="Century Gothic"/>
          <w:sz w:val="26"/>
          <w:szCs w:val="26"/>
        </w:rPr>
        <w:t>Fortalecer las herramientas tecnológicas del IDPAC</w:t>
      </w:r>
      <w:r w:rsidR="00612294">
        <w:rPr>
          <w:rFonts w:ascii="Century Gothic" w:hAnsi="Century Gothic"/>
          <w:sz w:val="26"/>
          <w:szCs w:val="26"/>
        </w:rPr>
        <w:t xml:space="preserve"> y</w:t>
      </w:r>
      <w:r w:rsidR="00A27EE7">
        <w:rPr>
          <w:rFonts w:ascii="Century Gothic" w:hAnsi="Century Gothic"/>
          <w:sz w:val="26"/>
          <w:szCs w:val="26"/>
        </w:rPr>
        <w:t xml:space="preserve"> </w:t>
      </w:r>
      <w:r w:rsidR="00A27EE7" w:rsidRPr="00A27EE7">
        <w:rPr>
          <w:rFonts w:ascii="Century Gothic" w:hAnsi="Century Gothic"/>
          <w:sz w:val="26"/>
          <w:szCs w:val="26"/>
        </w:rPr>
        <w:t>Fortalecer la capacidad operativa del IDPAC</w:t>
      </w:r>
      <w:r w:rsidR="00A27EE7">
        <w:rPr>
          <w:rFonts w:ascii="Century Gothic" w:hAnsi="Century Gothic"/>
          <w:sz w:val="26"/>
          <w:szCs w:val="26"/>
        </w:rPr>
        <w:t>.</w:t>
      </w:r>
    </w:p>
    <w:p w:rsidR="00A27EE7" w:rsidRDefault="00A27EE7" w:rsidP="0026563F">
      <w:pPr>
        <w:contextualSpacing/>
        <w:jc w:val="both"/>
        <w:rPr>
          <w:rFonts w:ascii="Century Gothic" w:hAnsi="Century Gothic"/>
          <w:sz w:val="26"/>
          <w:szCs w:val="26"/>
        </w:rPr>
      </w:pPr>
    </w:p>
    <w:p w:rsidR="008D5446" w:rsidRDefault="00A27EE7" w:rsidP="0026563F">
      <w:pPr>
        <w:contextualSpacing/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</w:t>
      </w:r>
      <w:r w:rsidR="008D5446">
        <w:rPr>
          <w:rFonts w:ascii="Century Gothic" w:hAnsi="Century Gothic"/>
          <w:sz w:val="26"/>
          <w:szCs w:val="26"/>
        </w:rPr>
        <w:t>os objetivos estratégicos son medidos a través del cumplimiento de las iniciativas estratégicas</w:t>
      </w:r>
      <w:r w:rsidR="00612294">
        <w:rPr>
          <w:rFonts w:ascii="Century Gothic" w:hAnsi="Century Gothic"/>
          <w:sz w:val="26"/>
          <w:szCs w:val="26"/>
        </w:rPr>
        <w:t>, estas últimas creadas para proporcionar</w:t>
      </w:r>
      <w:r w:rsidR="00BC48BC">
        <w:rPr>
          <w:rFonts w:ascii="Century Gothic" w:hAnsi="Century Gothic"/>
          <w:sz w:val="26"/>
          <w:szCs w:val="26"/>
        </w:rPr>
        <w:t xml:space="preserve"> un </w:t>
      </w:r>
      <w:r w:rsidR="00BC48BC" w:rsidRPr="00D063D6">
        <w:rPr>
          <w:rFonts w:ascii="Century Gothic" w:hAnsi="Century Gothic"/>
          <w:sz w:val="26"/>
          <w:szCs w:val="26"/>
        </w:rPr>
        <w:t>valor agregado al normal accionar de los procesos</w:t>
      </w:r>
      <w:r w:rsidR="008D5446">
        <w:rPr>
          <w:rFonts w:ascii="Century Gothic" w:hAnsi="Century Gothic"/>
          <w:sz w:val="26"/>
          <w:szCs w:val="26"/>
        </w:rPr>
        <w:t xml:space="preserve">. El IDPAC cuenta con </w:t>
      </w:r>
      <w:r w:rsidR="00FB6B03">
        <w:rPr>
          <w:rFonts w:ascii="Century Gothic" w:hAnsi="Century Gothic"/>
          <w:sz w:val="26"/>
          <w:szCs w:val="26"/>
        </w:rPr>
        <w:t>diecinueve (19) iniciativas</w:t>
      </w:r>
      <w:r w:rsidR="00047765">
        <w:rPr>
          <w:rFonts w:ascii="Century Gothic" w:hAnsi="Century Gothic"/>
          <w:sz w:val="26"/>
          <w:szCs w:val="26"/>
        </w:rPr>
        <w:t xml:space="preserve"> estratégicas, las cuales </w:t>
      </w:r>
      <w:r w:rsidR="00B379C3">
        <w:rPr>
          <w:rFonts w:ascii="Century Gothic" w:hAnsi="Century Gothic"/>
          <w:sz w:val="26"/>
          <w:szCs w:val="26"/>
        </w:rPr>
        <w:t>miden su ejecución a partir del cumplimiento de las metas de los proyectos de inversión</w:t>
      </w:r>
      <w:r w:rsidR="00047765">
        <w:rPr>
          <w:rFonts w:ascii="Century Gothic" w:hAnsi="Century Gothic"/>
          <w:sz w:val="26"/>
          <w:szCs w:val="26"/>
        </w:rPr>
        <w:t>. Un proyecto de inversión puede encontrarse asociado a diferentes iniciativas, dependiendo del tipo de meta.</w:t>
      </w:r>
    </w:p>
    <w:p w:rsidR="008D5446" w:rsidRDefault="008D5446" w:rsidP="0026563F">
      <w:pPr>
        <w:contextualSpacing/>
        <w:jc w:val="both"/>
        <w:rPr>
          <w:rFonts w:ascii="Century Gothic" w:hAnsi="Century Gothic"/>
          <w:sz w:val="26"/>
          <w:szCs w:val="26"/>
        </w:rPr>
      </w:pPr>
    </w:p>
    <w:p w:rsidR="001D510C" w:rsidRDefault="00D71B30" w:rsidP="0026563F">
      <w:pPr>
        <w:contextualSpacing/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El IDPAC cuenta actualmente con </w:t>
      </w:r>
      <w:r w:rsidR="001D510C">
        <w:rPr>
          <w:rFonts w:ascii="Century Gothic" w:hAnsi="Century Gothic"/>
          <w:sz w:val="26"/>
          <w:szCs w:val="26"/>
        </w:rPr>
        <w:t>seis Proyectos de Inversión a saber:</w:t>
      </w:r>
    </w:p>
    <w:p w:rsidR="001D510C" w:rsidRDefault="001D510C" w:rsidP="0026563F">
      <w:pPr>
        <w:contextualSpacing/>
        <w:jc w:val="both"/>
        <w:rPr>
          <w:rFonts w:ascii="Century Gothic" w:hAnsi="Century Gothic"/>
          <w:sz w:val="26"/>
          <w:szCs w:val="26"/>
        </w:rPr>
      </w:pPr>
    </w:p>
    <w:p w:rsidR="008B5CF4" w:rsidRPr="008B5CF4" w:rsidRDefault="008B5CF4" w:rsidP="008B5CF4">
      <w:pPr>
        <w:contextualSpacing/>
        <w:jc w:val="both"/>
        <w:rPr>
          <w:rFonts w:ascii="Century Gothic" w:hAnsi="Century Gothic"/>
          <w:sz w:val="26"/>
          <w:szCs w:val="26"/>
        </w:rPr>
      </w:pPr>
      <w:r w:rsidRPr="008B5CF4">
        <w:rPr>
          <w:rFonts w:ascii="Century Gothic" w:hAnsi="Century Gothic"/>
          <w:sz w:val="26"/>
          <w:szCs w:val="26"/>
        </w:rPr>
        <w:t>Proyecto 1013. Formación para una participación ciudadana incidente en los asuntos públicos de la ciudad</w:t>
      </w:r>
    </w:p>
    <w:p w:rsidR="008B5CF4" w:rsidRPr="008B5CF4" w:rsidRDefault="008B5CF4" w:rsidP="008B5CF4">
      <w:pPr>
        <w:contextualSpacing/>
        <w:jc w:val="both"/>
        <w:rPr>
          <w:rFonts w:ascii="Century Gothic" w:hAnsi="Century Gothic"/>
          <w:sz w:val="26"/>
          <w:szCs w:val="26"/>
        </w:rPr>
      </w:pPr>
      <w:r w:rsidRPr="008B5CF4">
        <w:rPr>
          <w:rFonts w:ascii="Century Gothic" w:hAnsi="Century Gothic"/>
          <w:sz w:val="26"/>
          <w:szCs w:val="26"/>
        </w:rPr>
        <w:t>Proyecto 1014. Fortalecimiento a las organizaciones para la participación incidente en la ciudad</w:t>
      </w:r>
    </w:p>
    <w:p w:rsidR="008B5CF4" w:rsidRPr="008B5CF4" w:rsidRDefault="008B5CF4" w:rsidP="008B5CF4">
      <w:pPr>
        <w:contextualSpacing/>
        <w:jc w:val="both"/>
        <w:rPr>
          <w:rFonts w:ascii="Century Gothic" w:hAnsi="Century Gothic"/>
          <w:sz w:val="26"/>
          <w:szCs w:val="26"/>
        </w:rPr>
      </w:pPr>
      <w:r w:rsidRPr="008B5CF4">
        <w:rPr>
          <w:rFonts w:ascii="Century Gothic" w:hAnsi="Century Gothic"/>
          <w:sz w:val="26"/>
          <w:szCs w:val="26"/>
        </w:rPr>
        <w:t>Proyecto 1080. Fortalecimiento y modernización de la gestión institucional</w:t>
      </w:r>
    </w:p>
    <w:p w:rsidR="008B5CF4" w:rsidRPr="008B5CF4" w:rsidRDefault="008B5CF4" w:rsidP="008B5CF4">
      <w:pPr>
        <w:contextualSpacing/>
        <w:jc w:val="both"/>
        <w:rPr>
          <w:rFonts w:ascii="Century Gothic" w:hAnsi="Century Gothic"/>
          <w:sz w:val="26"/>
          <w:szCs w:val="26"/>
        </w:rPr>
      </w:pPr>
      <w:r w:rsidRPr="008B5CF4">
        <w:rPr>
          <w:rFonts w:ascii="Century Gothic" w:hAnsi="Century Gothic"/>
          <w:sz w:val="26"/>
          <w:szCs w:val="26"/>
        </w:rPr>
        <w:t>Proyecto 1088. Estrategias para la modernización de las organizaciones comunales en el Distrito Capital</w:t>
      </w:r>
    </w:p>
    <w:p w:rsidR="008B5CF4" w:rsidRPr="008B5CF4" w:rsidRDefault="008B5CF4" w:rsidP="008B5CF4">
      <w:pPr>
        <w:contextualSpacing/>
        <w:jc w:val="both"/>
        <w:rPr>
          <w:rFonts w:ascii="Century Gothic" w:hAnsi="Century Gothic"/>
          <w:sz w:val="26"/>
          <w:szCs w:val="26"/>
        </w:rPr>
      </w:pPr>
      <w:r w:rsidRPr="008B5CF4">
        <w:rPr>
          <w:rFonts w:ascii="Century Gothic" w:hAnsi="Century Gothic"/>
          <w:sz w:val="26"/>
          <w:szCs w:val="26"/>
        </w:rPr>
        <w:t>Proyecto 1089. Promoción para una participación incidente en el distrito</w:t>
      </w:r>
    </w:p>
    <w:p w:rsidR="001D510C" w:rsidRDefault="008B5CF4" w:rsidP="008B5CF4">
      <w:pPr>
        <w:contextualSpacing/>
        <w:jc w:val="both"/>
        <w:rPr>
          <w:rFonts w:ascii="Century Gothic" w:hAnsi="Century Gothic"/>
          <w:sz w:val="26"/>
          <w:szCs w:val="26"/>
        </w:rPr>
      </w:pPr>
      <w:r w:rsidRPr="008B5CF4">
        <w:rPr>
          <w:rFonts w:ascii="Century Gothic" w:hAnsi="Century Gothic"/>
          <w:sz w:val="26"/>
          <w:szCs w:val="26"/>
        </w:rPr>
        <w:t>Proyecto 1193. M</w:t>
      </w:r>
      <w:r w:rsidR="00D71B30" w:rsidRPr="008B5CF4">
        <w:rPr>
          <w:rFonts w:ascii="Century Gothic" w:hAnsi="Century Gothic"/>
          <w:sz w:val="26"/>
          <w:szCs w:val="26"/>
        </w:rPr>
        <w:t xml:space="preserve">odernización de las herramientas tecnológicas del </w:t>
      </w:r>
      <w:r w:rsidRPr="008B5CF4">
        <w:rPr>
          <w:rFonts w:ascii="Century Gothic" w:hAnsi="Century Gothic"/>
          <w:sz w:val="26"/>
          <w:szCs w:val="26"/>
        </w:rPr>
        <w:t>IDPAC</w:t>
      </w:r>
    </w:p>
    <w:p w:rsidR="008D5446" w:rsidRDefault="008D5446" w:rsidP="00433E4D">
      <w:pPr>
        <w:spacing w:line="240" w:lineRule="auto"/>
        <w:contextualSpacing/>
        <w:jc w:val="both"/>
        <w:rPr>
          <w:rFonts w:ascii="Century Gothic" w:hAnsi="Century Gothic"/>
          <w:sz w:val="26"/>
          <w:szCs w:val="26"/>
        </w:rPr>
      </w:pPr>
    </w:p>
    <w:p w:rsidR="00433E4D" w:rsidRDefault="00433E4D" w:rsidP="00433E4D">
      <w:pPr>
        <w:spacing w:line="240" w:lineRule="auto"/>
        <w:contextualSpacing/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Los proyectos de inversión</w:t>
      </w:r>
      <w:r w:rsidR="004200A6">
        <w:rPr>
          <w:rFonts w:ascii="Century Gothic" w:hAnsi="Century Gothic"/>
          <w:sz w:val="26"/>
          <w:szCs w:val="26"/>
        </w:rPr>
        <w:t>,</w:t>
      </w:r>
      <w:r>
        <w:rPr>
          <w:rFonts w:ascii="Century Gothic" w:hAnsi="Century Gothic"/>
          <w:sz w:val="26"/>
          <w:szCs w:val="26"/>
        </w:rPr>
        <w:t xml:space="preserve"> de acuerdo con la ejecución de sus metas, presentan avance en el cumplimiento del Plan Estratégico Institucional</w:t>
      </w:r>
      <w:r w:rsidR="004200A6">
        <w:rPr>
          <w:rFonts w:ascii="Century Gothic" w:hAnsi="Century Gothic"/>
          <w:sz w:val="26"/>
          <w:szCs w:val="26"/>
        </w:rPr>
        <w:t xml:space="preserve"> a la fecha</w:t>
      </w:r>
      <w:r>
        <w:rPr>
          <w:rFonts w:ascii="Century Gothic" w:hAnsi="Century Gothic"/>
          <w:sz w:val="26"/>
          <w:szCs w:val="26"/>
        </w:rPr>
        <w:t>, de la siguiente manera:</w:t>
      </w:r>
    </w:p>
    <w:p w:rsidR="00C00B24" w:rsidRDefault="00433E4D" w:rsidP="00433E4D">
      <w:pPr>
        <w:spacing w:line="240" w:lineRule="auto"/>
        <w:contextualSpacing/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 </w:t>
      </w:r>
    </w:p>
    <w:p w:rsidR="00433E4D" w:rsidRDefault="0026563F" w:rsidP="00433E4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entury Gothic" w:hAnsi="Century Gothic"/>
          <w:sz w:val="26"/>
          <w:szCs w:val="26"/>
        </w:rPr>
      </w:pPr>
      <w:r w:rsidRPr="00816ADE">
        <w:rPr>
          <w:rFonts w:ascii="Century Gothic" w:hAnsi="Century Gothic"/>
          <w:sz w:val="26"/>
          <w:szCs w:val="26"/>
        </w:rPr>
        <w:t xml:space="preserve">Para la vigencia 2016, </w:t>
      </w:r>
      <w:r w:rsidR="009F0108" w:rsidRPr="00816ADE">
        <w:rPr>
          <w:rFonts w:ascii="Century Gothic" w:hAnsi="Century Gothic"/>
          <w:sz w:val="26"/>
          <w:szCs w:val="26"/>
        </w:rPr>
        <w:t>se estableció un</w:t>
      </w:r>
      <w:r w:rsidRPr="00816ADE">
        <w:rPr>
          <w:rFonts w:ascii="Century Gothic" w:hAnsi="Century Gothic"/>
          <w:sz w:val="26"/>
          <w:szCs w:val="26"/>
        </w:rPr>
        <w:t xml:space="preserve"> </w:t>
      </w:r>
      <w:r w:rsidR="005579ED">
        <w:rPr>
          <w:rFonts w:ascii="Century Gothic" w:hAnsi="Century Gothic"/>
          <w:sz w:val="26"/>
          <w:szCs w:val="26"/>
        </w:rPr>
        <w:t>avance</w:t>
      </w:r>
      <w:r w:rsidRPr="00816ADE">
        <w:rPr>
          <w:rFonts w:ascii="Century Gothic" w:hAnsi="Century Gothic"/>
          <w:sz w:val="26"/>
          <w:szCs w:val="26"/>
        </w:rPr>
        <w:t xml:space="preserve"> del</w:t>
      </w:r>
      <w:r w:rsidR="009F0108" w:rsidRPr="00816ADE">
        <w:rPr>
          <w:rFonts w:ascii="Century Gothic" w:hAnsi="Century Gothic"/>
          <w:sz w:val="26"/>
          <w:szCs w:val="26"/>
        </w:rPr>
        <w:t xml:space="preserve"> Plan Estratégico Institucional </w:t>
      </w:r>
      <w:r w:rsidR="005579ED">
        <w:rPr>
          <w:rFonts w:ascii="Century Gothic" w:hAnsi="Century Gothic"/>
          <w:sz w:val="26"/>
          <w:szCs w:val="26"/>
        </w:rPr>
        <w:t>equivalente a</w:t>
      </w:r>
      <w:r w:rsidR="009F0108" w:rsidRPr="00816ADE">
        <w:rPr>
          <w:rFonts w:ascii="Century Gothic" w:hAnsi="Century Gothic"/>
          <w:sz w:val="26"/>
          <w:szCs w:val="26"/>
        </w:rPr>
        <w:t xml:space="preserve"> un</w:t>
      </w:r>
      <w:r w:rsidRPr="00816ADE">
        <w:rPr>
          <w:rFonts w:ascii="Century Gothic" w:hAnsi="Century Gothic"/>
          <w:sz w:val="26"/>
          <w:szCs w:val="26"/>
        </w:rPr>
        <w:t xml:space="preserve"> 96</w:t>
      </w:r>
      <w:r w:rsidR="00433E4D" w:rsidRPr="00816ADE">
        <w:rPr>
          <w:rFonts w:ascii="Century Gothic" w:hAnsi="Century Gothic"/>
          <w:sz w:val="26"/>
          <w:szCs w:val="26"/>
        </w:rPr>
        <w:t>%</w:t>
      </w:r>
      <w:r w:rsidRPr="00816ADE">
        <w:rPr>
          <w:rFonts w:ascii="Century Gothic" w:hAnsi="Century Gothic"/>
          <w:sz w:val="26"/>
          <w:szCs w:val="26"/>
        </w:rPr>
        <w:t>.</w:t>
      </w:r>
      <w:r w:rsidR="00816ADE" w:rsidRPr="00816ADE">
        <w:rPr>
          <w:rFonts w:ascii="Century Gothic" w:hAnsi="Century Gothic"/>
          <w:sz w:val="26"/>
          <w:szCs w:val="26"/>
        </w:rPr>
        <w:t xml:space="preserve"> </w:t>
      </w:r>
    </w:p>
    <w:p w:rsidR="00B678D4" w:rsidRDefault="00B678D4" w:rsidP="00B678D4">
      <w:pPr>
        <w:pStyle w:val="Prrafodelista"/>
        <w:spacing w:line="240" w:lineRule="auto"/>
        <w:jc w:val="both"/>
        <w:rPr>
          <w:rFonts w:ascii="Century Gothic" w:hAnsi="Century Gothic"/>
          <w:sz w:val="26"/>
          <w:szCs w:val="26"/>
        </w:rPr>
      </w:pPr>
    </w:p>
    <w:p w:rsidR="00816ADE" w:rsidRDefault="00A10A39" w:rsidP="001E7920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entury Gothic" w:hAnsi="Century Gothic"/>
          <w:sz w:val="26"/>
          <w:szCs w:val="26"/>
        </w:rPr>
      </w:pPr>
      <w:r w:rsidRPr="00742CC4">
        <w:rPr>
          <w:rFonts w:ascii="Century Gothic" w:hAnsi="Century Gothic"/>
          <w:sz w:val="26"/>
          <w:szCs w:val="26"/>
        </w:rPr>
        <w:t>Para la vigencia 2017, el</w:t>
      </w:r>
      <w:r w:rsidR="00C549D1">
        <w:rPr>
          <w:rFonts w:ascii="Century Gothic" w:hAnsi="Century Gothic"/>
          <w:sz w:val="26"/>
          <w:szCs w:val="26"/>
        </w:rPr>
        <w:t xml:space="preserve"> IDPAC presenta un cumplimiento </w:t>
      </w:r>
      <w:r w:rsidR="00B678D4" w:rsidRPr="00742CC4">
        <w:rPr>
          <w:rFonts w:ascii="Century Gothic" w:hAnsi="Century Gothic"/>
          <w:sz w:val="26"/>
          <w:szCs w:val="26"/>
        </w:rPr>
        <w:t xml:space="preserve">del </w:t>
      </w:r>
      <w:r w:rsidR="002E10EA">
        <w:rPr>
          <w:rFonts w:ascii="Century Gothic" w:hAnsi="Century Gothic"/>
          <w:sz w:val="26"/>
          <w:szCs w:val="26"/>
        </w:rPr>
        <w:t>104.9</w:t>
      </w:r>
      <w:r w:rsidR="00742CC4" w:rsidRPr="00742CC4">
        <w:rPr>
          <w:rFonts w:ascii="Century Gothic" w:hAnsi="Century Gothic"/>
          <w:sz w:val="26"/>
          <w:szCs w:val="26"/>
        </w:rPr>
        <w:t xml:space="preserve">% </w:t>
      </w:r>
      <w:r w:rsidR="00642A48">
        <w:rPr>
          <w:rFonts w:ascii="Century Gothic" w:hAnsi="Century Gothic"/>
          <w:sz w:val="26"/>
          <w:szCs w:val="26"/>
        </w:rPr>
        <w:t>con respecto del</w:t>
      </w:r>
      <w:r w:rsidR="00742CC4" w:rsidRPr="00742CC4">
        <w:rPr>
          <w:rFonts w:ascii="Century Gothic" w:hAnsi="Century Gothic"/>
          <w:sz w:val="26"/>
          <w:szCs w:val="26"/>
        </w:rPr>
        <w:t xml:space="preserve"> 100% programado</w:t>
      </w:r>
      <w:r w:rsidR="00742CC4">
        <w:rPr>
          <w:rFonts w:ascii="Century Gothic" w:hAnsi="Century Gothic"/>
          <w:sz w:val="26"/>
          <w:szCs w:val="26"/>
        </w:rPr>
        <w:t xml:space="preserve">. </w:t>
      </w:r>
      <w:r w:rsidR="00033D76">
        <w:rPr>
          <w:rFonts w:ascii="Century Gothic" w:hAnsi="Century Gothic"/>
          <w:sz w:val="26"/>
          <w:szCs w:val="26"/>
        </w:rPr>
        <w:t xml:space="preserve">En resumen, se encuentra que dentro del 35.75% programado </w:t>
      </w:r>
      <w:r w:rsidR="00477EC5">
        <w:rPr>
          <w:rFonts w:ascii="Century Gothic" w:hAnsi="Century Gothic"/>
          <w:sz w:val="26"/>
          <w:szCs w:val="26"/>
        </w:rPr>
        <w:t>durante</w:t>
      </w:r>
      <w:r w:rsidR="00033D76">
        <w:rPr>
          <w:rFonts w:ascii="Century Gothic" w:hAnsi="Century Gothic"/>
          <w:sz w:val="26"/>
          <w:szCs w:val="26"/>
        </w:rPr>
        <w:t xml:space="preserve"> el primer semestre se </w:t>
      </w:r>
      <w:r w:rsidR="00477EC5">
        <w:rPr>
          <w:rFonts w:ascii="Century Gothic" w:hAnsi="Century Gothic"/>
          <w:sz w:val="26"/>
          <w:szCs w:val="26"/>
        </w:rPr>
        <w:t>obtuvo</w:t>
      </w:r>
      <w:r w:rsidR="00033D76">
        <w:rPr>
          <w:rFonts w:ascii="Century Gothic" w:hAnsi="Century Gothic"/>
          <w:sz w:val="26"/>
          <w:szCs w:val="26"/>
        </w:rPr>
        <w:t xml:space="preserve"> una ejecución de 34.60%, es decir, </w:t>
      </w:r>
      <w:r w:rsidR="00477EC5">
        <w:rPr>
          <w:rFonts w:ascii="Century Gothic" w:hAnsi="Century Gothic"/>
          <w:sz w:val="26"/>
          <w:szCs w:val="26"/>
        </w:rPr>
        <w:t xml:space="preserve">existió </w:t>
      </w:r>
      <w:r w:rsidR="00033D76">
        <w:rPr>
          <w:rFonts w:ascii="Century Gothic" w:hAnsi="Century Gothic"/>
          <w:sz w:val="26"/>
          <w:szCs w:val="26"/>
        </w:rPr>
        <w:t xml:space="preserve">un cumplimiento del </w:t>
      </w:r>
      <w:r w:rsidR="00F56844">
        <w:rPr>
          <w:rFonts w:ascii="Century Gothic" w:hAnsi="Century Gothic"/>
          <w:sz w:val="26"/>
          <w:szCs w:val="26"/>
        </w:rPr>
        <w:t>96.78% de las actividades programadas y</w:t>
      </w:r>
      <w:r w:rsidR="00477EC5">
        <w:rPr>
          <w:rFonts w:ascii="Century Gothic" w:hAnsi="Century Gothic"/>
          <w:sz w:val="26"/>
          <w:szCs w:val="26"/>
        </w:rPr>
        <w:t>,</w:t>
      </w:r>
      <w:r w:rsidR="00F56844">
        <w:rPr>
          <w:rFonts w:ascii="Century Gothic" w:hAnsi="Century Gothic"/>
          <w:sz w:val="26"/>
          <w:szCs w:val="26"/>
        </w:rPr>
        <w:t xml:space="preserve"> p</w:t>
      </w:r>
      <w:r w:rsidR="00742CC4">
        <w:rPr>
          <w:rFonts w:ascii="Century Gothic" w:hAnsi="Century Gothic"/>
          <w:sz w:val="26"/>
          <w:szCs w:val="26"/>
        </w:rPr>
        <w:t>ara el segundo semestre</w:t>
      </w:r>
      <w:r w:rsidR="00477EC5">
        <w:rPr>
          <w:rFonts w:ascii="Century Gothic" w:hAnsi="Century Gothic"/>
          <w:sz w:val="26"/>
          <w:szCs w:val="26"/>
        </w:rPr>
        <w:t>,</w:t>
      </w:r>
      <w:r w:rsidR="00742CC4">
        <w:rPr>
          <w:rFonts w:ascii="Century Gothic" w:hAnsi="Century Gothic"/>
          <w:sz w:val="26"/>
          <w:szCs w:val="26"/>
        </w:rPr>
        <w:t xml:space="preserve"> </w:t>
      </w:r>
      <w:r w:rsidR="00F56844">
        <w:rPr>
          <w:rFonts w:ascii="Century Gothic" w:hAnsi="Century Gothic"/>
          <w:sz w:val="26"/>
          <w:szCs w:val="26"/>
        </w:rPr>
        <w:t xml:space="preserve">se encuentra que </w:t>
      </w:r>
      <w:r w:rsidR="00742CC4">
        <w:rPr>
          <w:rFonts w:ascii="Century Gothic" w:hAnsi="Century Gothic"/>
          <w:sz w:val="26"/>
          <w:szCs w:val="26"/>
        </w:rPr>
        <w:t xml:space="preserve">del </w:t>
      </w:r>
      <w:r w:rsidR="00F56844">
        <w:rPr>
          <w:rFonts w:ascii="Century Gothic" w:hAnsi="Century Gothic"/>
          <w:sz w:val="26"/>
          <w:szCs w:val="26"/>
        </w:rPr>
        <w:t>64.25</w:t>
      </w:r>
      <w:r w:rsidR="00742CC4">
        <w:rPr>
          <w:rFonts w:ascii="Century Gothic" w:hAnsi="Century Gothic"/>
          <w:sz w:val="26"/>
          <w:szCs w:val="26"/>
        </w:rPr>
        <w:t xml:space="preserve">% programado se </w:t>
      </w:r>
      <w:r w:rsidR="00477EC5">
        <w:rPr>
          <w:rFonts w:ascii="Century Gothic" w:hAnsi="Century Gothic"/>
          <w:sz w:val="26"/>
          <w:szCs w:val="26"/>
        </w:rPr>
        <w:t>logró</w:t>
      </w:r>
      <w:r w:rsidR="00742CC4">
        <w:rPr>
          <w:rFonts w:ascii="Century Gothic" w:hAnsi="Century Gothic"/>
          <w:sz w:val="26"/>
          <w:szCs w:val="26"/>
        </w:rPr>
        <w:t xml:space="preserve"> una ejecución del </w:t>
      </w:r>
      <w:r w:rsidR="00F56844">
        <w:rPr>
          <w:rFonts w:ascii="Century Gothic" w:hAnsi="Century Gothic"/>
          <w:sz w:val="26"/>
          <w:szCs w:val="26"/>
        </w:rPr>
        <w:t>70.30%, es decir un cumplimiento del 109.42%</w:t>
      </w:r>
      <w:r w:rsidR="00477EC5">
        <w:rPr>
          <w:rFonts w:ascii="Century Gothic" w:hAnsi="Century Gothic"/>
          <w:sz w:val="26"/>
          <w:szCs w:val="26"/>
        </w:rPr>
        <w:t>.</w:t>
      </w:r>
    </w:p>
    <w:p w:rsidR="00761577" w:rsidRDefault="00761577" w:rsidP="00761577">
      <w:pPr>
        <w:pStyle w:val="Prrafodelista"/>
        <w:spacing w:line="240" w:lineRule="auto"/>
        <w:jc w:val="both"/>
        <w:rPr>
          <w:rFonts w:ascii="Century Gothic" w:hAnsi="Century Gothic"/>
          <w:sz w:val="26"/>
          <w:szCs w:val="26"/>
        </w:rPr>
      </w:pPr>
    </w:p>
    <w:p w:rsidR="00F445E7" w:rsidRPr="00433E4D" w:rsidRDefault="00433E4D" w:rsidP="00433E4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Para</w:t>
      </w:r>
      <w:r w:rsidR="00157094" w:rsidRPr="00433E4D">
        <w:rPr>
          <w:rFonts w:ascii="Century Gothic" w:hAnsi="Century Gothic"/>
          <w:sz w:val="26"/>
          <w:szCs w:val="26"/>
        </w:rPr>
        <w:t xml:space="preserve"> la vigencia 2017, se </w:t>
      </w:r>
      <w:r>
        <w:rPr>
          <w:rFonts w:ascii="Century Gothic" w:hAnsi="Century Gothic"/>
          <w:sz w:val="26"/>
          <w:szCs w:val="26"/>
        </w:rPr>
        <w:t xml:space="preserve">presenta un avance </w:t>
      </w:r>
      <w:r w:rsidR="00F11B67">
        <w:rPr>
          <w:rFonts w:ascii="Century Gothic" w:hAnsi="Century Gothic"/>
          <w:sz w:val="26"/>
          <w:szCs w:val="26"/>
        </w:rPr>
        <w:t xml:space="preserve">de las metas que hacen parte del Plan Estratégico Institucional </w:t>
      </w:r>
      <w:r w:rsidR="00642A48">
        <w:rPr>
          <w:rFonts w:ascii="Century Gothic" w:hAnsi="Century Gothic"/>
          <w:sz w:val="26"/>
          <w:szCs w:val="26"/>
        </w:rPr>
        <w:t>con corte a 31 de diciembre, así</w:t>
      </w:r>
      <w:r w:rsidR="00F11B67">
        <w:rPr>
          <w:rFonts w:ascii="Century Gothic" w:hAnsi="Century Gothic"/>
          <w:sz w:val="26"/>
          <w:szCs w:val="26"/>
        </w:rPr>
        <w:t>:</w:t>
      </w:r>
    </w:p>
    <w:p w:rsidR="00107A19" w:rsidRDefault="00107A19" w:rsidP="00433E4D">
      <w:pPr>
        <w:spacing w:line="240" w:lineRule="auto"/>
        <w:contextualSpacing/>
        <w:jc w:val="both"/>
        <w:rPr>
          <w:rFonts w:ascii="Century Gothic" w:hAnsi="Century Gothic"/>
        </w:rPr>
      </w:pPr>
    </w:p>
    <w:p w:rsidR="00107A19" w:rsidRDefault="00107A19" w:rsidP="00433E4D">
      <w:pPr>
        <w:spacing w:line="240" w:lineRule="auto"/>
        <w:contextualSpacing/>
        <w:jc w:val="both"/>
        <w:rPr>
          <w:rFonts w:ascii="Century Gothic" w:hAnsi="Century Gothic"/>
        </w:rPr>
      </w:pPr>
    </w:p>
    <w:p w:rsidR="006021E6" w:rsidRDefault="006021E6" w:rsidP="0026563F">
      <w:pPr>
        <w:jc w:val="both"/>
        <w:rPr>
          <w:rFonts w:ascii="Century Gothic" w:hAnsi="Century Gothic"/>
        </w:rPr>
        <w:sectPr w:rsidR="006021E6" w:rsidSect="00F445E7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97948" w:rsidRDefault="00F97948"/>
    <w:tbl>
      <w:tblPr>
        <w:tblW w:w="0" w:type="auto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9"/>
        <w:gridCol w:w="3210"/>
        <w:gridCol w:w="2452"/>
        <w:gridCol w:w="1762"/>
        <w:gridCol w:w="1129"/>
        <w:gridCol w:w="1257"/>
        <w:gridCol w:w="1333"/>
      </w:tblGrid>
      <w:tr w:rsidR="00C04EC5" w:rsidRPr="00650F4E" w:rsidTr="00E178CC">
        <w:trPr>
          <w:trHeight w:val="818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2060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 xml:space="preserve">Objetivo Estratégico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Iniciativa</w:t>
            </w:r>
            <w:r w:rsidRPr="00650F4E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br/>
              <w:t>Estratégica PEI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bookmarkStart w:id="0" w:name="RANGE!C5:G39"/>
            <w:r w:rsidRPr="00650F4E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Indicador PEI</w:t>
            </w:r>
            <w:bookmarkEnd w:id="0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META 2017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Ejec</w:t>
            </w: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.</w:t>
            </w:r>
            <w:r w:rsidRPr="00650F4E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 xml:space="preserve"> hasta Cuarto Trimestre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2060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s-CO" w:eastAsia="es-CO"/>
              </w:rPr>
              <w:t>Porcentaje de Avance Meta</w:t>
            </w:r>
          </w:p>
        </w:tc>
      </w:tr>
      <w:tr w:rsidR="00650F4E" w:rsidRPr="00650F4E" w:rsidTr="00650F4E">
        <w:trPr>
          <w:trHeight w:val="10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  <w:t>GM2</w:t>
            </w:r>
            <w:r w:rsidRPr="00650F4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  <w:br/>
              <w:t>Desarrollar conocimiento y capacidades de la ciudadanía y sus organizaciones para ejercer el derecho a participar.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  <w:t>Ofrecer un portafolio de formación y capacitación para la participación ciudadana incidente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  <w:t>Número de ciudadanos formados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b/>
                <w:bCs/>
                <w:color w:val="000000"/>
                <w:lang w:val="es-CO" w:eastAsia="es-CO"/>
              </w:rPr>
              <w:t>4.500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lang w:val="es-CO" w:eastAsia="es-CO"/>
              </w:rPr>
              <w:t>6.692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149%</w:t>
            </w:r>
          </w:p>
        </w:tc>
      </w:tr>
      <w:tr w:rsidR="00650F4E" w:rsidRPr="00650F4E" w:rsidTr="00650F4E">
        <w:trPr>
          <w:trHeight w:val="9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  <w:t xml:space="preserve">Desarrollar procesos de formación con líderes comunitarios y organizaciones a través del intercambio de experiencias nacionales e internacionales.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  <w:t>Número de espacios propiciados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b/>
                <w:bCs/>
                <w:color w:val="000000"/>
                <w:lang w:val="es-CO" w:eastAsia="es-C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lang w:val="es-CO" w:eastAsia="es-CO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205,0%</w:t>
            </w:r>
          </w:p>
        </w:tc>
      </w:tr>
      <w:tr w:rsidR="00650F4E" w:rsidRPr="00650F4E" w:rsidTr="00650F4E">
        <w:trPr>
          <w:trHeight w:val="52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  <w:t>Número de eventos realizados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b/>
                <w:bCs/>
                <w:color w:val="000000"/>
                <w:lang w:val="es-CO"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lang w:val="es-CO"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100,0%</w:t>
            </w:r>
          </w:p>
        </w:tc>
      </w:tr>
      <w:tr w:rsidR="00650F4E" w:rsidRPr="00650F4E" w:rsidTr="00650F4E">
        <w:trPr>
          <w:trHeight w:val="52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  <w:t>Número de líderes vinculados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b/>
                <w:bCs/>
                <w:color w:val="000000"/>
                <w:lang w:val="es-CO" w:eastAsia="es-C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lang w:val="es-CO" w:eastAsia="es-C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130,0%</w:t>
            </w:r>
          </w:p>
        </w:tc>
      </w:tr>
      <w:tr w:rsidR="00650F4E" w:rsidRPr="00650F4E" w:rsidTr="00C04EC5">
        <w:trPr>
          <w:trHeight w:val="13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  <w:t>Impulsar la creación de un Laboratorio de la participación donde se genere conocimiento y metodologías en torno al ejercicio de la participación ciudadana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  <w:t>Porcentaje de implementación del laboratorio de la participación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b/>
                <w:bCs/>
                <w:color w:val="000000"/>
                <w:lang w:val="es-CO" w:eastAsia="es-CO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lang w:val="es-CO" w:eastAsia="es-CO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100,0%</w:t>
            </w:r>
          </w:p>
        </w:tc>
      </w:tr>
      <w:tr w:rsidR="00650F4E" w:rsidRPr="00650F4E" w:rsidTr="00C04EC5">
        <w:trPr>
          <w:trHeight w:val="52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  <w:t>GM3 Fortalecer la gestión de la ciudadanía y sus organizaciones desde procesos, espacios e instancias de participación en el nivel local y distrital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  <w:t>Desarrollar procesos de fortalecimiento a las organizaciones de mujeres, LGBTI, jóvenes, grupos étnicos, personas con discapacidad y nuevas expresiones.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  <w:t>Número de organizaciones juveniles fortalecidas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b/>
                <w:bCs/>
                <w:lang w:val="es-CO" w:eastAsia="es-C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lang w:val="es-CO" w:eastAsia="es-C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100,0%</w:t>
            </w:r>
          </w:p>
        </w:tc>
      </w:tr>
      <w:tr w:rsidR="00650F4E" w:rsidRPr="00650F4E" w:rsidTr="00C04EC5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  <w:t xml:space="preserve">Número de organizaciones de mujer y </w:t>
            </w:r>
            <w:r w:rsidR="00473C19" w:rsidRPr="00650F4E"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  <w:t>género fortalecidas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b/>
                <w:bCs/>
                <w:lang w:val="es-CO" w:eastAsia="es-C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lang w:val="es-CO" w:eastAsia="es-C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100,0%</w:t>
            </w:r>
          </w:p>
        </w:tc>
      </w:tr>
      <w:tr w:rsidR="00650F4E" w:rsidRPr="00650F4E" w:rsidTr="00C04EC5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  <w:t>Número de organizaciones étnicas fortalecidas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b/>
                <w:bCs/>
                <w:lang w:val="es-CO" w:eastAsia="es-C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lang w:val="es-CO" w:eastAsia="es-C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100,0%</w:t>
            </w:r>
          </w:p>
        </w:tc>
      </w:tr>
      <w:tr w:rsidR="00650F4E" w:rsidRPr="00650F4E" w:rsidTr="00C04EC5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  <w:t>Número de organizaciones de población con discapacidad fortalecidas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b/>
                <w:bCs/>
                <w:lang w:val="es-CO" w:eastAsia="es-C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lang w:val="es-CO" w:eastAsia="es-C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100,0%</w:t>
            </w:r>
          </w:p>
        </w:tc>
      </w:tr>
      <w:tr w:rsidR="00650F4E" w:rsidRPr="00650F4E" w:rsidTr="00C04EC5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  <w:t>Número de organizaciones de nuevas expresiones fortalecidas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b/>
                <w:bCs/>
                <w:lang w:val="es-CO" w:eastAsia="es-C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lang w:val="es-CO" w:eastAsia="es-C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100,0%</w:t>
            </w:r>
          </w:p>
        </w:tc>
      </w:tr>
      <w:tr w:rsidR="00650F4E" w:rsidRPr="00650F4E" w:rsidTr="00C04EC5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  <w:t>Número de campañas de participación para fortalecer el enfoque de derechos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b/>
                <w:bCs/>
                <w:lang w:val="es-CO" w:eastAsia="es-C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lang w:val="es-CO" w:eastAsia="es-C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100,0%</w:t>
            </w:r>
          </w:p>
        </w:tc>
      </w:tr>
      <w:tr w:rsidR="00650F4E" w:rsidRPr="00650F4E" w:rsidTr="00C04EC5">
        <w:trPr>
          <w:trHeight w:val="8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lang w:val="es-CO" w:eastAsia="es-CO"/>
              </w:rPr>
              <w:t>GM3 Fortalecer la gestión de la ciudadanía y sus organizaciones desde procesos, espacios e instancias de participación en el nivel local y distrital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  <w:t>Fortalecer a las organizaciones comunales de primer y segundo grado.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  <w:t xml:space="preserve"> Porcentaje de</w:t>
            </w:r>
            <w:r w:rsidRPr="00650F4E"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  <w:br/>
              <w:t>organizaciones comunales</w:t>
            </w:r>
            <w:r w:rsidRPr="00650F4E"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  <w:br/>
              <w:t>de primer grado fortalecidas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b/>
                <w:bCs/>
                <w:lang w:val="es-CO" w:eastAsia="es-CO"/>
              </w:rPr>
              <w:t>12,50%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lang w:val="es-CO" w:eastAsia="es-CO"/>
              </w:rPr>
              <w:t>12,50%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100,0%</w:t>
            </w:r>
          </w:p>
        </w:tc>
      </w:tr>
      <w:tr w:rsidR="00650F4E" w:rsidRPr="00650F4E" w:rsidTr="00650F4E">
        <w:trPr>
          <w:trHeight w:val="52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  <w:t xml:space="preserve"> Porcentaje de organizaciones</w:t>
            </w:r>
            <w:r w:rsidRPr="00650F4E"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  <w:br/>
              <w:t>comunales de segundo</w:t>
            </w:r>
            <w:r w:rsidRPr="00650F4E"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  <w:br/>
              <w:t>grado fortalecidas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b/>
                <w:bCs/>
                <w:lang w:val="es-CO" w:eastAsia="es-CO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lang w:val="es-CO" w:eastAsia="es-CO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100,0%</w:t>
            </w:r>
          </w:p>
        </w:tc>
      </w:tr>
      <w:tr w:rsidR="00650F4E" w:rsidRPr="00650F4E" w:rsidTr="00650F4E">
        <w:trPr>
          <w:trHeight w:val="8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  <w:t>Mejorar el ejercicio de IVC sobre las organizaciones comunales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  <w:t xml:space="preserve"> Porcentaje de procesos de IVC realizados (priorizados y solicitados)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b/>
                <w:bCs/>
                <w:lang w:val="es-CO" w:eastAsia="es-CO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lang w:val="es-CO" w:eastAsia="es-CO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100,0%</w:t>
            </w:r>
          </w:p>
        </w:tc>
      </w:tr>
      <w:tr w:rsidR="00650F4E" w:rsidRPr="00650F4E" w:rsidTr="00650F4E">
        <w:trPr>
          <w:trHeight w:val="52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CO" w:eastAsia="es-CO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  <w:t>Fortalecer la participación de organizaciones regidas por propiedad horizontal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  <w:t>Consejos Locales de Propiedad Horizontal fortalecidos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b/>
                <w:bCs/>
                <w:lang w:val="es-CO" w:eastAsia="es-C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lang w:val="es-CO" w:eastAsia="es-C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100,0%</w:t>
            </w:r>
          </w:p>
        </w:tc>
      </w:tr>
      <w:tr w:rsidR="00650F4E" w:rsidRPr="00650F4E" w:rsidTr="00C04EC5">
        <w:trPr>
          <w:trHeight w:val="10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  <w:t>Porcentaje de avance en la elaboración del estudio para la construcción de una política pública de Participación Ciudadana y Convivencia en 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b/>
                <w:bCs/>
                <w:lang w:val="es-CO" w:eastAsia="es-CO"/>
              </w:rPr>
              <w:t>40%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lang w:val="es-CO" w:eastAsia="es-CO"/>
              </w:rPr>
              <w:t>40,0%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100,0%</w:t>
            </w:r>
          </w:p>
        </w:tc>
      </w:tr>
      <w:tr w:rsidR="00650F4E" w:rsidRPr="00650F4E" w:rsidTr="00C04EC5">
        <w:trPr>
          <w:trHeight w:val="79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  <w:t>GM3 Fortalecer la gestión de la ciudadanía y sus organizaciones desde procesos, espacios e instancias de participación en el nivel local y distrital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  <w:t xml:space="preserve">Promover la construcción </w:t>
            </w:r>
            <w:r w:rsidR="00C04EC5" w:rsidRPr="00650F4E"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  <w:t>de obras</w:t>
            </w:r>
            <w:r w:rsidRPr="00650F4E"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  <w:t xml:space="preserve"> menores, proyectos e iniciativas de carácter social en los barrios del Distrito Capital, con la participación de las organizaciones sociales, comunitarias y comunales.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  <w:t xml:space="preserve">Obras e iniciativas realizadas con la comunidad bajo el modelo Uno + Uno = Todos, </w:t>
            </w:r>
            <w:r w:rsidRPr="00650F4E"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  <w:br/>
              <w:t xml:space="preserve">Una + Una = Todas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b/>
                <w:bCs/>
                <w:lang w:val="es-CO" w:eastAsia="es-CO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lang w:val="es-CO" w:eastAsia="es-CO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150,0%</w:t>
            </w:r>
          </w:p>
        </w:tc>
      </w:tr>
      <w:tr w:rsidR="00C04EC5" w:rsidRPr="00650F4E" w:rsidTr="00C04EC5">
        <w:trPr>
          <w:trHeight w:val="5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  <w:t xml:space="preserve">Consolidar una estrategia de comunicación e información </w:t>
            </w:r>
            <w:r w:rsidRPr="00650F4E"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  <w:lastRenderedPageBreak/>
              <w:t>para la participación ciudadana incidente.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  <w:lastRenderedPageBreak/>
              <w:t xml:space="preserve">"Bogotá abierta" consolidada como </w:t>
            </w:r>
            <w:r w:rsidRPr="00650F4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  <w:lastRenderedPageBreak/>
              <w:t>plataforma digital que promueve la participación ciudadana en el distrito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  <w:lastRenderedPageBreak/>
              <w:t>48 Retos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b/>
                <w:bCs/>
                <w:lang w:val="es-CO" w:eastAsia="es-C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lang w:val="es-CO" w:eastAsia="es-C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118,2%</w:t>
            </w:r>
          </w:p>
        </w:tc>
      </w:tr>
      <w:tr w:rsidR="00650F4E" w:rsidRPr="00650F4E" w:rsidTr="00C04EC5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  <w:t>100000 participaciones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b/>
                <w:bCs/>
                <w:color w:val="000000"/>
                <w:lang w:val="es-CO" w:eastAsia="es-CO"/>
              </w:rPr>
              <w:t>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lang w:val="es-CO" w:eastAsia="es-CO"/>
              </w:rPr>
              <w:t>10017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100,2%</w:t>
            </w:r>
          </w:p>
        </w:tc>
      </w:tr>
      <w:tr w:rsidR="00650F4E" w:rsidRPr="00650F4E" w:rsidTr="00C04EC5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  <w:t>40.000 Registrados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b/>
                <w:bCs/>
                <w:color w:val="000000"/>
                <w:lang w:val="es-CO" w:eastAsia="es-CO"/>
              </w:rPr>
              <w:t>3735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lang w:val="es-CO" w:eastAsia="es-CO"/>
              </w:rPr>
              <w:t>3995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107,0%</w:t>
            </w:r>
          </w:p>
        </w:tc>
      </w:tr>
      <w:tr w:rsidR="00650F4E" w:rsidRPr="00650F4E" w:rsidTr="00C04EC5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  <w:t>Número de Impactos en medios de comunicación y redes sociales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b/>
                <w:bCs/>
                <w:lang w:val="es-CO" w:eastAsia="es-CO"/>
              </w:rPr>
              <w:t>5.500.000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lang w:val="es-CO" w:eastAsia="es-CO"/>
              </w:rPr>
              <w:t>5.733.615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104,2%</w:t>
            </w:r>
          </w:p>
        </w:tc>
      </w:tr>
      <w:tr w:rsidR="00650F4E" w:rsidRPr="00650F4E" w:rsidTr="00C04EC5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  <w:t>N° procesos de promoción de la participación y fortalecimiento a los medios de comunicación comunitaria y alternativa realizados.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b/>
                <w:bCs/>
                <w:lang w:val="es-CO"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lang w:val="es-CO" w:eastAsia="es-CO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350,0%</w:t>
            </w:r>
          </w:p>
        </w:tc>
      </w:tr>
      <w:tr w:rsidR="00650F4E" w:rsidRPr="00650F4E" w:rsidTr="00C04EC5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  <w:t>Asesorar técnicamente y acompañar a las instancias de participación en el Distrito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  <w:t>Propuesta de racionalización de instancias y espacios de participación en el DC y las localidades.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b/>
                <w:bCs/>
                <w:lang w:val="es-CO"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lang w:val="es-CO"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100,0%</w:t>
            </w:r>
          </w:p>
        </w:tc>
      </w:tr>
      <w:tr w:rsidR="00650F4E" w:rsidRPr="00650F4E" w:rsidTr="00C04EC5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  <w:t>Número de Instancias de participación acompañadas técnicamente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b/>
                <w:bCs/>
                <w:color w:val="000000"/>
                <w:lang w:val="es-CO" w:eastAsia="es-CO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lang w:val="es-CO" w:eastAsia="es-CO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100,0%</w:t>
            </w:r>
          </w:p>
        </w:tc>
      </w:tr>
      <w:tr w:rsidR="00650F4E" w:rsidRPr="00650F4E" w:rsidTr="00C04EC5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  <w:t>Implementar una estrategia de articulación territorial para fortalecer la gestión del IDPAC en los procesos participativos locales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  <w:t xml:space="preserve">Número de puntos de </w:t>
            </w:r>
            <w:r w:rsidR="00E178CC" w:rsidRPr="00650F4E"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  <w:t>participación atendidos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b/>
                <w:bCs/>
                <w:lang w:val="es-CO" w:eastAsia="es-C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lang w:val="es-CO" w:eastAsia="es-C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100,0%</w:t>
            </w:r>
          </w:p>
        </w:tc>
      </w:tr>
      <w:tr w:rsidR="00650F4E" w:rsidRPr="00650F4E" w:rsidTr="00C04EC5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  <w:t>Número de diagnósticos locales integrales de participación realizados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b/>
                <w:bCs/>
                <w:color w:val="000000"/>
                <w:lang w:val="es-CO" w:eastAsia="es-C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lang w:val="es-CO" w:eastAsia="es-C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100,0%</w:t>
            </w:r>
          </w:p>
        </w:tc>
      </w:tr>
      <w:tr w:rsidR="00650F4E" w:rsidRPr="00650F4E" w:rsidTr="00C04EC5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  <w:t>Porcentaje de ejecución de los planes de acción de equipo territorial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b/>
                <w:bCs/>
                <w:color w:val="000000"/>
                <w:lang w:val="es-CO" w:eastAsia="es-CO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lang w:val="es-CO" w:eastAsia="es-CO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100,0%</w:t>
            </w:r>
          </w:p>
        </w:tc>
      </w:tr>
      <w:tr w:rsidR="00650F4E" w:rsidRPr="00650F4E" w:rsidTr="00C04EC5">
        <w:trPr>
          <w:trHeight w:val="8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  <w:t>EA1</w:t>
            </w:r>
            <w:r w:rsidRPr="00650F4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  <w:br/>
              <w:t>Adecuar y mantener el Sistema Integrado de Gestión del IDPAC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  <w:t>Modernizar la gestión documental y de archivo de la Entidad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  <w:t xml:space="preserve">Porcentaje de avance en la implementación de un Sistema Integral de Gestión documental y administración de archivos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b/>
                <w:bCs/>
                <w:color w:val="000000"/>
                <w:lang w:val="es-CO" w:eastAsia="es-CO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lang w:val="es-CO" w:eastAsia="es-CO"/>
              </w:rPr>
              <w:t>26,1%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87,0%</w:t>
            </w:r>
          </w:p>
        </w:tc>
      </w:tr>
      <w:tr w:rsidR="00650F4E" w:rsidRPr="00650F4E" w:rsidTr="00650F4E">
        <w:trPr>
          <w:trHeight w:val="8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  <w:t xml:space="preserve">Fortalecer los Subsistemas </w:t>
            </w:r>
            <w:r w:rsidR="00E178CC" w:rsidRPr="00650F4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  <w:t>de Gestión</w:t>
            </w:r>
            <w:r w:rsidRPr="00650F4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  <w:t xml:space="preserve"> del SIG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sz w:val="20"/>
                <w:szCs w:val="20"/>
                <w:lang w:val="es-CO" w:eastAsia="es-CO"/>
              </w:rPr>
              <w:t>Porcentaje de implementación de los Subsistemas que integran el SIG, de acuerdo con la Norma Técnica Distrital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b/>
                <w:bCs/>
                <w:color w:val="000000"/>
                <w:lang w:val="es-CO" w:eastAsia="es-CO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lang w:val="es-CO" w:eastAsia="es-CO"/>
              </w:rPr>
              <w:t>99,96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99,96%</w:t>
            </w:r>
          </w:p>
        </w:tc>
      </w:tr>
      <w:tr w:rsidR="00650F4E" w:rsidRPr="00650F4E" w:rsidTr="00650F4E">
        <w:trPr>
          <w:trHeight w:val="8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  <w:t>Fortalecer el modelo de atención al ciudadano, de acuerdo con la Política Distrital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  <w:t>Porcentaje de fortalecimiento del modelo de atención al ciudadano del IDPAC con la Política Distrital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b/>
                <w:bCs/>
                <w:color w:val="000000"/>
                <w:lang w:val="es-CO" w:eastAsia="es-CO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lang w:val="es-CO" w:eastAsia="es-CO"/>
              </w:rPr>
              <w:t>22,32%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89,3%</w:t>
            </w:r>
          </w:p>
        </w:tc>
      </w:tr>
      <w:tr w:rsidR="00650F4E" w:rsidRPr="00650F4E" w:rsidTr="00650F4E">
        <w:trPr>
          <w:trHeight w:val="108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  <w:t>RI1</w:t>
            </w:r>
            <w:r w:rsidRPr="00650F4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  <w:br/>
              <w:t>Fortalecer la capacidad operativa del IDPAC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  <w:t>Mejoramiento de la infraestructura física del IDPAC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  <w:t>Porcentaje de ejecución del mejoramiento de la infraestructura de la Entidad (Sede B, Casa Barrios Unidos, 20 espacios de participación en las localidades, nueva sede)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b/>
                <w:bCs/>
                <w:color w:val="000000"/>
                <w:lang w:val="es-CO" w:eastAsia="es-C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lang w:val="es-CO" w:eastAsia="es-C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95,0%</w:t>
            </w:r>
          </w:p>
        </w:tc>
      </w:tr>
      <w:tr w:rsidR="00650F4E" w:rsidRPr="00650F4E" w:rsidTr="00650F4E">
        <w:trPr>
          <w:trHeight w:val="8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  <w:t xml:space="preserve">Implementación de mejoras administrativas en la </w:t>
            </w:r>
            <w:r w:rsidR="00E178CC" w:rsidRPr="00650F4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  <w:t>gestión del</w:t>
            </w:r>
            <w:r w:rsidRPr="00650F4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  <w:t xml:space="preserve"> IDPAC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  <w:t>Porcentaje de mejoramiento de las herramientas administrativas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b/>
                <w:bCs/>
                <w:color w:val="000000"/>
                <w:lang w:val="es-CO" w:eastAsia="es-CO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lang w:val="es-CO" w:eastAsia="es-CO"/>
              </w:rPr>
              <w:t>99,91%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99,9%</w:t>
            </w:r>
          </w:p>
        </w:tc>
      </w:tr>
      <w:tr w:rsidR="00650F4E" w:rsidRPr="00650F4E" w:rsidTr="00650F4E">
        <w:trPr>
          <w:trHeight w:val="529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  <w:t>EA2 Fortalecer herramientas tecnológicas del IDPAC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  <w:t xml:space="preserve">Adecuación de las </w:t>
            </w:r>
            <w:r w:rsidR="00E178CC" w:rsidRPr="00650F4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  <w:t>redes, hardware</w:t>
            </w:r>
            <w:r w:rsidRPr="00650F4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  <w:t xml:space="preserve"> y software de la Entidad.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  <w:t>Porcentaje de adecuación de las redes, hardware y software de la Entidad.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b/>
                <w:bCs/>
                <w:color w:val="000000"/>
                <w:lang w:val="es-CO" w:eastAsia="es-CO"/>
              </w:rPr>
              <w:t>35%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lang w:val="es-CO" w:eastAsia="es-CO"/>
              </w:rPr>
              <w:t>35,00%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100,0%</w:t>
            </w:r>
          </w:p>
        </w:tc>
      </w:tr>
      <w:tr w:rsidR="00650F4E" w:rsidRPr="00650F4E" w:rsidTr="00650F4E">
        <w:trPr>
          <w:trHeight w:val="52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  <w:t>Implementación de un Sistema de Información Pública de Participación en el Distrito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  <w:t xml:space="preserve">Porcentaje de </w:t>
            </w:r>
            <w:r w:rsidR="00E178CC" w:rsidRPr="00650F4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  <w:t>implementación del</w:t>
            </w:r>
            <w:r w:rsidRPr="00650F4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 w:eastAsia="es-CO"/>
              </w:rPr>
              <w:t xml:space="preserve"> Sistema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b/>
                <w:bCs/>
                <w:color w:val="000000"/>
                <w:lang w:val="es-CO" w:eastAsia="es-CO"/>
              </w:rPr>
              <w:t>35%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lang w:val="es-CO" w:eastAsia="es-CO"/>
              </w:rPr>
              <w:t>35,00%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0F4E" w:rsidRPr="00650F4E" w:rsidRDefault="00650F4E" w:rsidP="00650F4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650F4E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100,0%</w:t>
            </w:r>
          </w:p>
        </w:tc>
      </w:tr>
    </w:tbl>
    <w:p w:rsidR="00CD6193" w:rsidRDefault="00CD6193" w:rsidP="00CD6193">
      <w:pPr>
        <w:spacing w:line="240" w:lineRule="auto"/>
        <w:contextualSpacing/>
      </w:pPr>
    </w:p>
    <w:tbl>
      <w:tblPr>
        <w:tblStyle w:val="Sombreadoclaro-nfasis11"/>
        <w:tblW w:w="0" w:type="auto"/>
        <w:tblLook w:val="04A0" w:firstRow="1" w:lastRow="0" w:firstColumn="1" w:lastColumn="0" w:noHBand="0" w:noVBand="1"/>
      </w:tblPr>
      <w:tblGrid>
        <w:gridCol w:w="12031"/>
        <w:gridCol w:w="2130"/>
      </w:tblGrid>
      <w:tr w:rsidR="00CD6193" w:rsidRPr="000B43D0" w:rsidTr="00715B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1" w:type="dxa"/>
            <w:vAlign w:val="center"/>
          </w:tcPr>
          <w:p w:rsidR="00CD6193" w:rsidRPr="000B43D0" w:rsidRDefault="00CD6193" w:rsidP="00DA60D8">
            <w:pPr>
              <w:jc w:val="center"/>
              <w:rPr>
                <w:rFonts w:ascii="Century Gothic" w:hAnsi="Century Gothic"/>
                <w:b w:val="0"/>
                <w:sz w:val="26"/>
                <w:szCs w:val="26"/>
              </w:rPr>
            </w:pPr>
            <w:r w:rsidRPr="000B43D0"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  <w:lang w:eastAsia="es-ES"/>
              </w:rPr>
              <w:t xml:space="preserve">Promedio </w:t>
            </w:r>
            <w:r w:rsidR="005579ED"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  <w:lang w:eastAsia="es-ES"/>
              </w:rPr>
              <w:t>de avance</w:t>
            </w:r>
            <w:r w:rsidRPr="000B43D0"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  <w:lang w:eastAsia="es-ES"/>
              </w:rPr>
              <w:t xml:space="preserve"> del Plan Estratégico vigencia 201</w:t>
            </w:r>
            <w:r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  <w:lang w:eastAsia="es-ES"/>
              </w:rPr>
              <w:t>7</w:t>
            </w:r>
          </w:p>
        </w:tc>
        <w:tc>
          <w:tcPr>
            <w:tcW w:w="2130" w:type="dxa"/>
            <w:vAlign w:val="center"/>
          </w:tcPr>
          <w:p w:rsidR="00CD6193" w:rsidRPr="000B43D0" w:rsidRDefault="003D7227" w:rsidP="00E178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 xml:space="preserve">** </w:t>
            </w:r>
            <w:r w:rsidR="00E178CC">
              <w:rPr>
                <w:rFonts w:ascii="Century Gothic" w:hAnsi="Century Gothic"/>
                <w:sz w:val="26"/>
                <w:szCs w:val="26"/>
              </w:rPr>
              <w:t>104,9</w:t>
            </w:r>
            <w:r w:rsidR="0018498C">
              <w:rPr>
                <w:rFonts w:ascii="Century Gothic" w:hAnsi="Century Gothic"/>
                <w:sz w:val="26"/>
                <w:szCs w:val="26"/>
              </w:rPr>
              <w:t xml:space="preserve"> </w:t>
            </w:r>
            <w:r w:rsidR="00CD6193" w:rsidRPr="000B43D0">
              <w:rPr>
                <w:rFonts w:ascii="Century Gothic" w:hAnsi="Century Gothic"/>
                <w:sz w:val="26"/>
                <w:szCs w:val="26"/>
              </w:rPr>
              <w:t>%</w:t>
            </w:r>
          </w:p>
        </w:tc>
      </w:tr>
    </w:tbl>
    <w:p w:rsidR="00683D64" w:rsidRDefault="00683D64" w:rsidP="00CD6193">
      <w:pPr>
        <w:jc w:val="both"/>
        <w:rPr>
          <w:rFonts w:ascii="Century Gothic" w:hAnsi="Century Gothic"/>
          <w:sz w:val="26"/>
          <w:szCs w:val="26"/>
        </w:rPr>
      </w:pPr>
    </w:p>
    <w:p w:rsidR="00625DD8" w:rsidRDefault="00625DD8" w:rsidP="00CD6193">
      <w:pPr>
        <w:jc w:val="both"/>
        <w:rPr>
          <w:rFonts w:ascii="Century Gothic" w:hAnsi="Century Gothic"/>
          <w:sz w:val="26"/>
          <w:szCs w:val="26"/>
        </w:rPr>
      </w:pPr>
    </w:p>
    <w:p w:rsidR="00CD6193" w:rsidRPr="000B43D0" w:rsidRDefault="00CD6193" w:rsidP="00CD6193">
      <w:pPr>
        <w:jc w:val="both"/>
        <w:rPr>
          <w:rFonts w:ascii="Century Gothic" w:hAnsi="Century Gothic"/>
          <w:sz w:val="26"/>
          <w:szCs w:val="26"/>
        </w:rPr>
      </w:pPr>
      <w:r w:rsidRPr="000B43D0">
        <w:rPr>
          <w:rFonts w:ascii="Century Gothic" w:hAnsi="Century Gothic"/>
          <w:sz w:val="26"/>
          <w:szCs w:val="26"/>
        </w:rPr>
        <w:lastRenderedPageBreak/>
        <w:t xml:space="preserve">A </w:t>
      </w:r>
      <w:r w:rsidR="005579ED" w:rsidRPr="000B43D0">
        <w:rPr>
          <w:rFonts w:ascii="Century Gothic" w:hAnsi="Century Gothic"/>
          <w:sz w:val="26"/>
          <w:szCs w:val="26"/>
        </w:rPr>
        <w:t>continuación,</w:t>
      </w:r>
      <w:r w:rsidRPr="000B43D0">
        <w:rPr>
          <w:rFonts w:ascii="Century Gothic" w:hAnsi="Century Gothic"/>
          <w:sz w:val="26"/>
          <w:szCs w:val="26"/>
        </w:rPr>
        <w:t xml:space="preserve"> se detalla la ejecución del Pla</w:t>
      </w:r>
      <w:r w:rsidR="0018498C">
        <w:rPr>
          <w:rFonts w:ascii="Century Gothic" w:hAnsi="Century Gothic"/>
          <w:sz w:val="26"/>
          <w:szCs w:val="26"/>
        </w:rPr>
        <w:t>n Estratégico Institucional 2017</w:t>
      </w:r>
      <w:r w:rsidRPr="000B43D0">
        <w:rPr>
          <w:rFonts w:ascii="Century Gothic" w:hAnsi="Century Gothic"/>
          <w:sz w:val="26"/>
          <w:szCs w:val="26"/>
        </w:rPr>
        <w:t xml:space="preserve"> por Objetivos</w:t>
      </w:r>
      <w:r w:rsidR="00683D64">
        <w:rPr>
          <w:rFonts w:ascii="Century Gothic" w:hAnsi="Century Gothic"/>
          <w:sz w:val="26"/>
          <w:szCs w:val="26"/>
        </w:rPr>
        <w:t xml:space="preserve">, para </w:t>
      </w:r>
      <w:r w:rsidR="00625DD8">
        <w:rPr>
          <w:rFonts w:ascii="Century Gothic" w:hAnsi="Century Gothic"/>
          <w:sz w:val="26"/>
          <w:szCs w:val="26"/>
        </w:rPr>
        <w:t>la vigencia 2017</w:t>
      </w:r>
      <w:r w:rsidRPr="000B43D0">
        <w:rPr>
          <w:rFonts w:ascii="Century Gothic" w:hAnsi="Century Gothic"/>
          <w:sz w:val="26"/>
          <w:szCs w:val="26"/>
        </w:rPr>
        <w:t>:</w:t>
      </w:r>
    </w:p>
    <w:tbl>
      <w:tblPr>
        <w:tblW w:w="14032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3"/>
        <w:gridCol w:w="2679"/>
      </w:tblGrid>
      <w:tr w:rsidR="00CD6193" w:rsidRPr="00EF7D2F" w:rsidTr="00EF7D2F">
        <w:trPr>
          <w:trHeight w:val="319"/>
          <w:tblHeader/>
        </w:trPr>
        <w:tc>
          <w:tcPr>
            <w:tcW w:w="1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  <w:hideMark/>
          </w:tcPr>
          <w:p w:rsidR="00CD6193" w:rsidRPr="00EF7D2F" w:rsidRDefault="00CD6193" w:rsidP="00E94E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6"/>
                <w:szCs w:val="26"/>
                <w:lang w:eastAsia="es-ES"/>
              </w:rPr>
            </w:pPr>
            <w:r w:rsidRPr="00EF7D2F">
              <w:rPr>
                <w:rFonts w:ascii="Century Gothic" w:eastAsia="Times New Roman" w:hAnsi="Century Gothic" w:cs="Times New Roman"/>
                <w:b/>
                <w:bCs/>
                <w:color w:val="FFFFFF"/>
                <w:sz w:val="26"/>
                <w:szCs w:val="26"/>
                <w:lang w:eastAsia="es-ES"/>
              </w:rPr>
              <w:t>Objetivo Estratégico 2015-2018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  <w:hideMark/>
          </w:tcPr>
          <w:p w:rsidR="00CD6193" w:rsidRPr="00EF7D2F" w:rsidRDefault="00CD6193" w:rsidP="00E94E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6"/>
                <w:szCs w:val="26"/>
                <w:lang w:eastAsia="es-ES"/>
              </w:rPr>
            </w:pPr>
            <w:r w:rsidRPr="00EF7D2F">
              <w:rPr>
                <w:rFonts w:ascii="Century Gothic" w:eastAsia="Times New Roman" w:hAnsi="Century Gothic" w:cs="Times New Roman"/>
                <w:b/>
                <w:bCs/>
                <w:color w:val="FFFFFF"/>
                <w:sz w:val="26"/>
                <w:szCs w:val="26"/>
                <w:lang w:eastAsia="es-ES"/>
              </w:rPr>
              <w:t>Ejecución promedio Objetivos Estratégicos</w:t>
            </w:r>
          </w:p>
        </w:tc>
      </w:tr>
      <w:tr w:rsidR="00CD6193" w:rsidRPr="00EF7D2F" w:rsidTr="00EF7D2F">
        <w:trPr>
          <w:trHeight w:val="319"/>
        </w:trPr>
        <w:tc>
          <w:tcPr>
            <w:tcW w:w="1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  <w:hideMark/>
          </w:tcPr>
          <w:p w:rsidR="00CD6193" w:rsidRPr="00EF7D2F" w:rsidRDefault="00CD6193" w:rsidP="00E94E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sz w:val="26"/>
                <w:szCs w:val="26"/>
                <w:lang w:eastAsia="es-ES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  <w:hideMark/>
          </w:tcPr>
          <w:p w:rsidR="00CD6193" w:rsidRPr="00EF7D2F" w:rsidRDefault="00CD6193" w:rsidP="00E94EF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sz w:val="26"/>
                <w:szCs w:val="26"/>
                <w:lang w:eastAsia="es-ES"/>
              </w:rPr>
            </w:pPr>
          </w:p>
        </w:tc>
      </w:tr>
      <w:tr w:rsidR="00CD6193" w:rsidRPr="00EF7D2F" w:rsidTr="00EF7D2F">
        <w:trPr>
          <w:trHeight w:val="20"/>
        </w:trPr>
        <w:tc>
          <w:tcPr>
            <w:tcW w:w="1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93" w:rsidRPr="00EF7D2F" w:rsidRDefault="00CD6193" w:rsidP="00E94EF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  <w:lang w:eastAsia="es-ES"/>
              </w:rPr>
            </w:pPr>
            <w:r w:rsidRPr="00EF7D2F">
              <w:rPr>
                <w:rFonts w:ascii="Century Gothic" w:eastAsia="Times New Roman" w:hAnsi="Century Gothic" w:cs="Times New Roman"/>
                <w:b/>
                <w:color w:val="000000"/>
                <w:sz w:val="26"/>
                <w:szCs w:val="26"/>
                <w:lang w:eastAsia="es-ES"/>
              </w:rPr>
              <w:t>GM1.</w:t>
            </w:r>
            <w:r w:rsidRPr="00EF7D2F"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  <w:lang w:eastAsia="es-ES"/>
              </w:rPr>
              <w:t xml:space="preserve">      Modernizar la participación en el Distrito Capital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93" w:rsidRPr="00EF7D2F" w:rsidRDefault="00E178CC" w:rsidP="0097788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  <w:lang w:eastAsia="es-ES"/>
              </w:rPr>
              <w:t>96,1</w:t>
            </w:r>
            <w:r w:rsidR="00E44FFD" w:rsidRPr="00EF7D2F"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  <w:lang w:eastAsia="es-ES"/>
              </w:rPr>
              <w:t xml:space="preserve"> </w:t>
            </w:r>
            <w:r w:rsidR="00CD6193" w:rsidRPr="00EF7D2F"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  <w:lang w:eastAsia="es-ES"/>
              </w:rPr>
              <w:t>%</w:t>
            </w:r>
          </w:p>
        </w:tc>
      </w:tr>
      <w:tr w:rsidR="00CD6193" w:rsidRPr="00EF7D2F" w:rsidTr="00EF7D2F">
        <w:trPr>
          <w:trHeight w:val="20"/>
        </w:trPr>
        <w:tc>
          <w:tcPr>
            <w:tcW w:w="1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93" w:rsidRPr="00EF7D2F" w:rsidRDefault="00CD6193" w:rsidP="00E94EF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  <w:lang w:eastAsia="es-ES"/>
              </w:rPr>
            </w:pPr>
            <w:r w:rsidRPr="00EF7D2F">
              <w:rPr>
                <w:rFonts w:ascii="Century Gothic" w:eastAsia="Times New Roman" w:hAnsi="Century Gothic" w:cs="Times New Roman"/>
                <w:b/>
                <w:color w:val="000000"/>
                <w:sz w:val="26"/>
                <w:szCs w:val="26"/>
                <w:lang w:eastAsia="es-ES"/>
              </w:rPr>
              <w:t>GM2.</w:t>
            </w:r>
            <w:r w:rsidRPr="00EF7D2F"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  <w:lang w:eastAsia="es-ES"/>
              </w:rPr>
              <w:t xml:space="preserve">   Desarrollar conocimiento y capacidades de la ciudadanía y sus organizaciones para ejercer el derecho a participar.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93" w:rsidRPr="00EF7D2F" w:rsidRDefault="00E178CC" w:rsidP="00E94E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  <w:lang w:eastAsia="es-ES"/>
              </w:rPr>
              <w:t>136,7</w:t>
            </w:r>
            <w:r w:rsidR="005177D6" w:rsidRPr="00EF7D2F"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  <w:lang w:eastAsia="es-ES"/>
              </w:rPr>
              <w:t xml:space="preserve"> </w:t>
            </w:r>
            <w:r w:rsidR="00CD6193" w:rsidRPr="00EF7D2F"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  <w:lang w:eastAsia="es-ES"/>
              </w:rPr>
              <w:t>%</w:t>
            </w:r>
          </w:p>
        </w:tc>
      </w:tr>
      <w:tr w:rsidR="00CD6193" w:rsidRPr="00EF7D2F" w:rsidTr="00EF7D2F">
        <w:trPr>
          <w:trHeight w:val="20"/>
        </w:trPr>
        <w:tc>
          <w:tcPr>
            <w:tcW w:w="1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93" w:rsidRPr="00EF7D2F" w:rsidRDefault="00CD6193" w:rsidP="00E94EF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6"/>
                <w:szCs w:val="26"/>
                <w:lang w:eastAsia="es-ES"/>
              </w:rPr>
            </w:pPr>
            <w:r w:rsidRPr="00EF7D2F">
              <w:rPr>
                <w:rFonts w:ascii="Century Gothic" w:eastAsia="Times New Roman" w:hAnsi="Century Gothic" w:cs="Times New Roman"/>
                <w:b/>
                <w:sz w:val="26"/>
                <w:szCs w:val="26"/>
                <w:lang w:eastAsia="es-ES"/>
              </w:rPr>
              <w:t>GM3.</w:t>
            </w:r>
            <w:r w:rsidRPr="00EF7D2F">
              <w:rPr>
                <w:rFonts w:ascii="Century Gothic" w:eastAsia="Times New Roman" w:hAnsi="Century Gothic" w:cs="Times New Roman"/>
                <w:sz w:val="26"/>
                <w:szCs w:val="26"/>
                <w:lang w:eastAsia="es-ES"/>
              </w:rPr>
              <w:t xml:space="preserve">  Fortalecer la gestión de la ciudadanía y sus organizaciones desde procesos, espacios e instancias de participación en el nivel local y distrital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93" w:rsidRPr="00EF7D2F" w:rsidRDefault="00E178CC" w:rsidP="00E94E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  <w:lang w:eastAsia="es-ES"/>
              </w:rPr>
              <w:t>106,9</w:t>
            </w:r>
            <w:r w:rsidR="005177D6" w:rsidRPr="00EF7D2F"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  <w:lang w:eastAsia="es-ES"/>
              </w:rPr>
              <w:t xml:space="preserve"> </w:t>
            </w:r>
            <w:r w:rsidR="00CD6193" w:rsidRPr="00EF7D2F"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  <w:lang w:eastAsia="es-ES"/>
              </w:rPr>
              <w:t>%</w:t>
            </w:r>
          </w:p>
        </w:tc>
      </w:tr>
      <w:tr w:rsidR="00CD6193" w:rsidRPr="00EF7D2F" w:rsidTr="00EF7D2F">
        <w:trPr>
          <w:trHeight w:val="20"/>
        </w:trPr>
        <w:tc>
          <w:tcPr>
            <w:tcW w:w="1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93" w:rsidRPr="00EF7D2F" w:rsidRDefault="00CD6193" w:rsidP="00E94EF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  <w:lang w:eastAsia="es-ES"/>
              </w:rPr>
            </w:pPr>
            <w:r w:rsidRPr="00EF7D2F">
              <w:rPr>
                <w:rFonts w:ascii="Century Gothic" w:eastAsia="Times New Roman" w:hAnsi="Century Gothic" w:cs="Times New Roman"/>
                <w:b/>
                <w:color w:val="000000"/>
                <w:sz w:val="26"/>
                <w:szCs w:val="26"/>
                <w:lang w:eastAsia="es-ES"/>
              </w:rPr>
              <w:t>EA1.</w:t>
            </w:r>
            <w:r w:rsidRPr="00EF7D2F"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  <w:lang w:eastAsia="es-ES"/>
              </w:rPr>
              <w:t xml:space="preserve">       Adecuar y mantener el Sistema Integrado de Gestión del IDPAC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93" w:rsidRPr="00EF7D2F" w:rsidRDefault="00E178CC" w:rsidP="00E94E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  <w:lang w:eastAsia="es-ES"/>
              </w:rPr>
              <w:t>92,1</w:t>
            </w:r>
            <w:r w:rsidR="00BB30B8" w:rsidRPr="00EF7D2F"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  <w:lang w:eastAsia="es-ES"/>
              </w:rPr>
              <w:t xml:space="preserve"> </w:t>
            </w:r>
            <w:r w:rsidR="00CD6193" w:rsidRPr="00EF7D2F"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  <w:lang w:eastAsia="es-ES"/>
              </w:rPr>
              <w:t>%</w:t>
            </w:r>
          </w:p>
        </w:tc>
      </w:tr>
      <w:tr w:rsidR="00CD6193" w:rsidRPr="00EF7D2F" w:rsidTr="00EF7D2F">
        <w:trPr>
          <w:trHeight w:val="20"/>
        </w:trPr>
        <w:tc>
          <w:tcPr>
            <w:tcW w:w="1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93" w:rsidRPr="00EF7D2F" w:rsidRDefault="00CD6193" w:rsidP="00E94EF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  <w:lang w:eastAsia="es-ES"/>
              </w:rPr>
            </w:pPr>
            <w:r w:rsidRPr="00EF7D2F">
              <w:rPr>
                <w:rFonts w:ascii="Century Gothic" w:eastAsia="Times New Roman" w:hAnsi="Century Gothic" w:cs="Times New Roman"/>
                <w:b/>
                <w:color w:val="000000"/>
                <w:sz w:val="26"/>
                <w:szCs w:val="26"/>
                <w:lang w:eastAsia="es-ES"/>
              </w:rPr>
              <w:t>RL1.</w:t>
            </w:r>
            <w:r w:rsidRPr="00EF7D2F"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  <w:lang w:eastAsia="es-ES"/>
              </w:rPr>
              <w:t xml:space="preserve">        Fortalecer la capacidad operativa del IDPAC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93" w:rsidRPr="00EF7D2F" w:rsidRDefault="00E178CC" w:rsidP="00A6594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  <w:lang w:eastAsia="es-ES"/>
              </w:rPr>
              <w:t>97,5</w:t>
            </w:r>
            <w:r w:rsidR="00BB30B8" w:rsidRPr="00EF7D2F"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  <w:lang w:eastAsia="es-ES"/>
              </w:rPr>
              <w:t xml:space="preserve"> </w:t>
            </w:r>
            <w:r w:rsidR="00CD6193" w:rsidRPr="00EF7D2F"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  <w:lang w:eastAsia="es-ES"/>
              </w:rPr>
              <w:t>%</w:t>
            </w:r>
          </w:p>
        </w:tc>
      </w:tr>
      <w:tr w:rsidR="00CD6193" w:rsidRPr="00EF7D2F" w:rsidTr="00EF7D2F">
        <w:trPr>
          <w:trHeight w:val="20"/>
        </w:trPr>
        <w:tc>
          <w:tcPr>
            <w:tcW w:w="1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93" w:rsidRPr="00EF7D2F" w:rsidRDefault="00CD6193" w:rsidP="00E94EF0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  <w:lang w:eastAsia="es-ES"/>
              </w:rPr>
            </w:pPr>
            <w:r w:rsidRPr="00EF7D2F">
              <w:rPr>
                <w:rFonts w:ascii="Century Gothic" w:eastAsia="Times New Roman" w:hAnsi="Century Gothic" w:cs="Times New Roman"/>
                <w:b/>
                <w:color w:val="000000"/>
                <w:sz w:val="26"/>
                <w:szCs w:val="26"/>
                <w:lang w:eastAsia="es-ES"/>
              </w:rPr>
              <w:t>EA2</w:t>
            </w:r>
            <w:r w:rsidRPr="00EF7D2F"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  <w:lang w:eastAsia="es-ES"/>
              </w:rPr>
              <w:t>.       Fortalecer herramientas tecnológicas del IDPAC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193" w:rsidRPr="00EF7D2F" w:rsidRDefault="00E178CC" w:rsidP="00E94E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  <w:lang w:eastAsia="es-ES"/>
              </w:rPr>
              <w:t>100</w:t>
            </w:r>
            <w:r w:rsidR="00BB30B8" w:rsidRPr="00EF7D2F"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  <w:lang w:eastAsia="es-ES"/>
              </w:rPr>
              <w:t xml:space="preserve"> </w:t>
            </w:r>
            <w:r w:rsidR="00CD6193" w:rsidRPr="00EF7D2F">
              <w:rPr>
                <w:rFonts w:ascii="Century Gothic" w:eastAsia="Times New Roman" w:hAnsi="Century Gothic" w:cs="Times New Roman"/>
                <w:color w:val="000000"/>
                <w:sz w:val="26"/>
                <w:szCs w:val="26"/>
                <w:lang w:eastAsia="es-ES"/>
              </w:rPr>
              <w:t>%</w:t>
            </w:r>
          </w:p>
        </w:tc>
      </w:tr>
    </w:tbl>
    <w:p w:rsidR="00CD6193" w:rsidRDefault="00CD6193" w:rsidP="00CD6193">
      <w:pPr>
        <w:jc w:val="both"/>
        <w:rPr>
          <w:rFonts w:ascii="Century Gothic" w:hAnsi="Century Gothic"/>
          <w:sz w:val="16"/>
          <w:szCs w:val="16"/>
        </w:rPr>
      </w:pPr>
    </w:p>
    <w:p w:rsidR="002D0AF8" w:rsidRPr="0092064C" w:rsidRDefault="0062553C" w:rsidP="00F55278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** El consolidado de los resultados obtenidos </w:t>
      </w:r>
      <w:r w:rsidR="003264A9">
        <w:rPr>
          <w:rFonts w:ascii="Century Gothic" w:hAnsi="Century Gothic"/>
        </w:rPr>
        <w:t xml:space="preserve">en cada uno de los proyectos de inversión, </w:t>
      </w:r>
      <w:bookmarkStart w:id="1" w:name="_GoBack"/>
      <w:bookmarkEnd w:id="1"/>
      <w:r>
        <w:rPr>
          <w:rFonts w:ascii="Century Gothic" w:hAnsi="Century Gothic"/>
        </w:rPr>
        <w:t xml:space="preserve">se pueden observar detalladamente dentro del Informe de </w:t>
      </w:r>
      <w:r w:rsidR="004027C6">
        <w:rPr>
          <w:rFonts w:ascii="Century Gothic" w:hAnsi="Century Gothic"/>
        </w:rPr>
        <w:t>Gestión</w:t>
      </w:r>
      <w:r>
        <w:rPr>
          <w:rFonts w:ascii="Century Gothic" w:hAnsi="Century Gothic"/>
        </w:rPr>
        <w:t xml:space="preserve"> 2017 publicado en la página web de tran</w:t>
      </w:r>
      <w:r w:rsidR="004027C6">
        <w:rPr>
          <w:rFonts w:ascii="Century Gothic" w:hAnsi="Century Gothic"/>
        </w:rPr>
        <w:t>sparencia, numeral 7. Control, 7.1 Informes de Gestión, evaluación y auditoría, literal c. Informe de rendición de cuentas a los ciudadanos, Rendición de Cuentas 2017, Informe de Gestión 2017.</w:t>
      </w:r>
    </w:p>
    <w:sectPr w:rsidR="002D0AF8" w:rsidRPr="0092064C" w:rsidSect="00F55278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B71" w:rsidRDefault="003C0B71" w:rsidP="00BC6D30">
      <w:pPr>
        <w:spacing w:after="0" w:line="240" w:lineRule="auto"/>
      </w:pPr>
      <w:r>
        <w:separator/>
      </w:r>
    </w:p>
  </w:endnote>
  <w:endnote w:type="continuationSeparator" w:id="0">
    <w:p w:rsidR="003C0B71" w:rsidRDefault="003C0B71" w:rsidP="00BC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B71" w:rsidRDefault="003C0B71" w:rsidP="00BC6D30">
      <w:pPr>
        <w:spacing w:after="0" w:line="240" w:lineRule="auto"/>
      </w:pPr>
      <w:r>
        <w:separator/>
      </w:r>
    </w:p>
  </w:footnote>
  <w:footnote w:type="continuationSeparator" w:id="0">
    <w:p w:rsidR="003C0B71" w:rsidRDefault="003C0B71" w:rsidP="00BC6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21AD"/>
    <w:multiLevelType w:val="hybridMultilevel"/>
    <w:tmpl w:val="5DB8D9F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D06C0"/>
    <w:multiLevelType w:val="multilevel"/>
    <w:tmpl w:val="A27C072A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/>
        <w:color w:val="244061" w:themeColor="accent1" w:themeShade="80"/>
      </w:rPr>
    </w:lvl>
    <w:lvl w:ilvl="3">
      <w:start w:val="1"/>
      <w:numFmt w:val="decimal"/>
      <w:pStyle w:val="Ttulo4"/>
      <w:isLgl/>
      <w:lvlText w:val="%1.%2.%3.%4."/>
      <w:lvlJc w:val="left"/>
      <w:pPr>
        <w:ind w:left="1080" w:hanging="720"/>
      </w:pPr>
      <w:rPr>
        <w:rFonts w:hint="default"/>
        <w:b/>
        <w:color w:val="244061" w:themeColor="accent1" w:themeShade="8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6B8295D"/>
    <w:multiLevelType w:val="hybridMultilevel"/>
    <w:tmpl w:val="A942FA5E"/>
    <w:lvl w:ilvl="0" w:tplc="34A64E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F0"/>
        <w:sz w:val="2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A651D"/>
    <w:multiLevelType w:val="hybridMultilevel"/>
    <w:tmpl w:val="A9106C58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925F9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CAAA1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4CA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DAAB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24EE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98EF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3A27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2A5A3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63F"/>
    <w:rsid w:val="00033D76"/>
    <w:rsid w:val="00047765"/>
    <w:rsid w:val="000C3472"/>
    <w:rsid w:val="000D18EC"/>
    <w:rsid w:val="001062EF"/>
    <w:rsid w:val="00107A19"/>
    <w:rsid w:val="00157094"/>
    <w:rsid w:val="00161650"/>
    <w:rsid w:val="0018498C"/>
    <w:rsid w:val="001A54C8"/>
    <w:rsid w:val="001B07D9"/>
    <w:rsid w:val="001C10EF"/>
    <w:rsid w:val="001D510C"/>
    <w:rsid w:val="001E52E6"/>
    <w:rsid w:val="001F6793"/>
    <w:rsid w:val="0020054A"/>
    <w:rsid w:val="00212530"/>
    <w:rsid w:val="0021347A"/>
    <w:rsid w:val="002350B1"/>
    <w:rsid w:val="00245A13"/>
    <w:rsid w:val="00263014"/>
    <w:rsid w:val="0026563F"/>
    <w:rsid w:val="00271EF5"/>
    <w:rsid w:val="002D0AF8"/>
    <w:rsid w:val="002E10EA"/>
    <w:rsid w:val="003264A9"/>
    <w:rsid w:val="003656A4"/>
    <w:rsid w:val="00382ED0"/>
    <w:rsid w:val="003B50DD"/>
    <w:rsid w:val="003B5BA4"/>
    <w:rsid w:val="003C0B71"/>
    <w:rsid w:val="003D4F45"/>
    <w:rsid w:val="003D7227"/>
    <w:rsid w:val="003E72F1"/>
    <w:rsid w:val="004027C6"/>
    <w:rsid w:val="004200A6"/>
    <w:rsid w:val="00433D89"/>
    <w:rsid w:val="00433E4D"/>
    <w:rsid w:val="0044017D"/>
    <w:rsid w:val="0046647C"/>
    <w:rsid w:val="00473C19"/>
    <w:rsid w:val="00477EC5"/>
    <w:rsid w:val="004E419A"/>
    <w:rsid w:val="005054EF"/>
    <w:rsid w:val="005177D6"/>
    <w:rsid w:val="0054409B"/>
    <w:rsid w:val="005558C1"/>
    <w:rsid w:val="005579ED"/>
    <w:rsid w:val="005615DB"/>
    <w:rsid w:val="00572E2A"/>
    <w:rsid w:val="005B5AB3"/>
    <w:rsid w:val="005D1AE7"/>
    <w:rsid w:val="005F0E8A"/>
    <w:rsid w:val="005F6061"/>
    <w:rsid w:val="00601295"/>
    <w:rsid w:val="006021E6"/>
    <w:rsid w:val="00612294"/>
    <w:rsid w:val="0061760E"/>
    <w:rsid w:val="0062553C"/>
    <w:rsid w:val="00625DD8"/>
    <w:rsid w:val="00642A48"/>
    <w:rsid w:val="0064310A"/>
    <w:rsid w:val="0064518E"/>
    <w:rsid w:val="00650F4E"/>
    <w:rsid w:val="00674A08"/>
    <w:rsid w:val="00683D64"/>
    <w:rsid w:val="006A2C85"/>
    <w:rsid w:val="006B5308"/>
    <w:rsid w:val="006E2A58"/>
    <w:rsid w:val="00707E8B"/>
    <w:rsid w:val="00715B46"/>
    <w:rsid w:val="00742CC4"/>
    <w:rsid w:val="00761577"/>
    <w:rsid w:val="0077181C"/>
    <w:rsid w:val="00783AC6"/>
    <w:rsid w:val="00784E1B"/>
    <w:rsid w:val="007911C3"/>
    <w:rsid w:val="007A6947"/>
    <w:rsid w:val="007C6C01"/>
    <w:rsid w:val="007D7B13"/>
    <w:rsid w:val="007E613A"/>
    <w:rsid w:val="0081208F"/>
    <w:rsid w:val="00816ADE"/>
    <w:rsid w:val="008917FC"/>
    <w:rsid w:val="00897705"/>
    <w:rsid w:val="008B5CF4"/>
    <w:rsid w:val="008B6BDE"/>
    <w:rsid w:val="008D5446"/>
    <w:rsid w:val="008D57C4"/>
    <w:rsid w:val="009160F4"/>
    <w:rsid w:val="0092064C"/>
    <w:rsid w:val="00937687"/>
    <w:rsid w:val="00977880"/>
    <w:rsid w:val="009B6511"/>
    <w:rsid w:val="009C7456"/>
    <w:rsid w:val="009F0108"/>
    <w:rsid w:val="00A10A39"/>
    <w:rsid w:val="00A27EE7"/>
    <w:rsid w:val="00A6594A"/>
    <w:rsid w:val="00AE39DE"/>
    <w:rsid w:val="00B23A7B"/>
    <w:rsid w:val="00B379C3"/>
    <w:rsid w:val="00B678D4"/>
    <w:rsid w:val="00B83F22"/>
    <w:rsid w:val="00B920A4"/>
    <w:rsid w:val="00BB30B8"/>
    <w:rsid w:val="00BC2F8F"/>
    <w:rsid w:val="00BC48BC"/>
    <w:rsid w:val="00BC6D30"/>
    <w:rsid w:val="00C00B24"/>
    <w:rsid w:val="00C04EC5"/>
    <w:rsid w:val="00C549D1"/>
    <w:rsid w:val="00C54FB7"/>
    <w:rsid w:val="00CB1EA5"/>
    <w:rsid w:val="00CD6193"/>
    <w:rsid w:val="00D063D6"/>
    <w:rsid w:val="00D10D62"/>
    <w:rsid w:val="00D228E0"/>
    <w:rsid w:val="00D3057C"/>
    <w:rsid w:val="00D319AB"/>
    <w:rsid w:val="00D71B30"/>
    <w:rsid w:val="00D93815"/>
    <w:rsid w:val="00DA60D8"/>
    <w:rsid w:val="00DB756D"/>
    <w:rsid w:val="00DC4BDE"/>
    <w:rsid w:val="00E178CC"/>
    <w:rsid w:val="00E422A0"/>
    <w:rsid w:val="00E44FFD"/>
    <w:rsid w:val="00E60DEB"/>
    <w:rsid w:val="00E712BA"/>
    <w:rsid w:val="00E73168"/>
    <w:rsid w:val="00E97C7B"/>
    <w:rsid w:val="00EB53B4"/>
    <w:rsid w:val="00ED0BEA"/>
    <w:rsid w:val="00EE7268"/>
    <w:rsid w:val="00EF7D2F"/>
    <w:rsid w:val="00F11B67"/>
    <w:rsid w:val="00F445E7"/>
    <w:rsid w:val="00F55278"/>
    <w:rsid w:val="00F56844"/>
    <w:rsid w:val="00F56854"/>
    <w:rsid w:val="00F73F06"/>
    <w:rsid w:val="00F86B04"/>
    <w:rsid w:val="00F916D8"/>
    <w:rsid w:val="00F966B4"/>
    <w:rsid w:val="00F97948"/>
    <w:rsid w:val="00FB6B03"/>
    <w:rsid w:val="00FC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A05E2"/>
  <w15:docId w15:val="{54AB3CFE-90A5-41F6-8E23-D3A1EB50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445E7"/>
  </w:style>
  <w:style w:type="paragraph" w:styleId="Ttulo1">
    <w:name w:val="heading 1"/>
    <w:basedOn w:val="Prrafodelista"/>
    <w:link w:val="Ttulo1Car"/>
    <w:uiPriority w:val="1"/>
    <w:qFormat/>
    <w:rsid w:val="002D0AF8"/>
    <w:pPr>
      <w:numPr>
        <w:numId w:val="3"/>
      </w:numPr>
      <w:spacing w:after="0" w:line="240" w:lineRule="auto"/>
      <w:jc w:val="both"/>
      <w:outlineLvl w:val="0"/>
    </w:pPr>
    <w:rPr>
      <w:rFonts w:ascii="Arial Narrow" w:eastAsia="MS Mincho" w:hAnsi="Arial Narrow" w:cs="Arial"/>
      <w:b/>
      <w:color w:val="244061" w:themeColor="accent1" w:themeShade="80"/>
      <w:sz w:val="24"/>
      <w:szCs w:val="24"/>
      <w:lang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2D0AF8"/>
    <w:pPr>
      <w:numPr>
        <w:ilvl w:val="1"/>
        <w:numId w:val="3"/>
      </w:numPr>
      <w:spacing w:after="0" w:line="240" w:lineRule="auto"/>
      <w:ind w:left="1134" w:hanging="502"/>
      <w:jc w:val="both"/>
      <w:outlineLvl w:val="1"/>
    </w:pPr>
    <w:rPr>
      <w:rFonts w:ascii="Arial Narrow" w:eastAsia="MS Mincho" w:hAnsi="Arial Narrow" w:cs="Arial"/>
      <w:b/>
      <w:color w:val="244061" w:themeColor="accent1" w:themeShade="80"/>
      <w:sz w:val="24"/>
      <w:szCs w:val="24"/>
      <w:lang w:eastAsia="es-ES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2D0AF8"/>
    <w:pPr>
      <w:numPr>
        <w:ilvl w:val="2"/>
        <w:numId w:val="3"/>
      </w:numPr>
      <w:spacing w:after="0"/>
      <w:ind w:left="1843"/>
      <w:jc w:val="both"/>
      <w:outlineLvl w:val="2"/>
    </w:pPr>
    <w:rPr>
      <w:rFonts w:ascii="Arial Narrow" w:eastAsia="MS Mincho" w:hAnsi="Arial Narrow" w:cs="Arial"/>
      <w:b/>
      <w:color w:val="244061" w:themeColor="accent1" w:themeShade="80"/>
      <w:sz w:val="24"/>
      <w:szCs w:val="24"/>
      <w:lang w:eastAsia="es-ES"/>
    </w:rPr>
  </w:style>
  <w:style w:type="paragraph" w:styleId="Ttulo4">
    <w:name w:val="heading 4"/>
    <w:basedOn w:val="Prrafodelista"/>
    <w:next w:val="Normal"/>
    <w:link w:val="Ttulo4Car"/>
    <w:uiPriority w:val="9"/>
    <w:unhideWhenUsed/>
    <w:qFormat/>
    <w:rsid w:val="002D0AF8"/>
    <w:pPr>
      <w:numPr>
        <w:ilvl w:val="3"/>
        <w:numId w:val="3"/>
      </w:numPr>
      <w:spacing w:after="0" w:line="240" w:lineRule="auto"/>
      <w:ind w:left="2552" w:hanging="862"/>
      <w:jc w:val="both"/>
      <w:outlineLvl w:val="3"/>
    </w:pPr>
    <w:rPr>
      <w:rFonts w:ascii="Arial Narrow" w:eastAsia="MS Mincho" w:hAnsi="Arial Narrow" w:cs="Arial"/>
      <w:b/>
      <w:color w:val="244061" w:themeColor="accent1" w:themeShade="8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062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BC6D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C6D30"/>
  </w:style>
  <w:style w:type="paragraph" w:styleId="Piedepgina">
    <w:name w:val="footer"/>
    <w:basedOn w:val="Normal"/>
    <w:link w:val="PiedepginaCar"/>
    <w:uiPriority w:val="99"/>
    <w:semiHidden/>
    <w:unhideWhenUsed/>
    <w:rsid w:val="00BC6D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C6D30"/>
  </w:style>
  <w:style w:type="character" w:styleId="Hipervnculo">
    <w:name w:val="Hyperlink"/>
    <w:basedOn w:val="Fuentedeprrafopredeter"/>
    <w:uiPriority w:val="99"/>
    <w:unhideWhenUsed/>
    <w:rsid w:val="00BC6D30"/>
    <w:rPr>
      <w:color w:val="0000FF" w:themeColor="hyperlink"/>
      <w:u w:val="single"/>
    </w:rPr>
  </w:style>
  <w:style w:type="paragraph" w:styleId="Prrafodelista">
    <w:name w:val="List Paragraph"/>
    <w:aliases w:val="LISTA,Párrafo de lista1,Párrafo de lista2,Ha,Resume Title,Bullet List,FooterText,numbered,List Paragraph1,Paragraphe de liste1,lp1,HOJA,Colorful List Accent 1,Colorful List - Accent 11,titulo 3,List Paragraph"/>
    <w:basedOn w:val="Normal"/>
    <w:link w:val="PrrafodelistaCar"/>
    <w:uiPriority w:val="34"/>
    <w:qFormat/>
    <w:rsid w:val="00433E4D"/>
    <w:pPr>
      <w:ind w:left="720"/>
      <w:contextualSpacing/>
    </w:pPr>
  </w:style>
  <w:style w:type="table" w:customStyle="1" w:styleId="Sombreadoclaro-nfasis11">
    <w:name w:val="Sombreado claro - Énfasis 11"/>
    <w:basedOn w:val="Tablanormal"/>
    <w:uiPriority w:val="60"/>
    <w:rsid w:val="00CD619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1"/>
    <w:rsid w:val="002D0AF8"/>
    <w:rPr>
      <w:rFonts w:ascii="Arial Narrow" w:eastAsia="MS Mincho" w:hAnsi="Arial Narrow" w:cs="Arial"/>
      <w:b/>
      <w:color w:val="244061" w:themeColor="accent1" w:themeShade="80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2D0AF8"/>
    <w:rPr>
      <w:rFonts w:ascii="Arial Narrow" w:eastAsia="MS Mincho" w:hAnsi="Arial Narrow" w:cs="Arial"/>
      <w:b/>
      <w:color w:val="244061" w:themeColor="accent1" w:themeShade="80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D0AF8"/>
    <w:rPr>
      <w:rFonts w:ascii="Arial Narrow" w:eastAsia="MS Mincho" w:hAnsi="Arial Narrow" w:cs="Arial"/>
      <w:b/>
      <w:color w:val="244061" w:themeColor="accent1" w:themeShade="80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2D0AF8"/>
    <w:rPr>
      <w:rFonts w:ascii="Arial Narrow" w:eastAsia="MS Mincho" w:hAnsi="Arial Narrow" w:cs="Arial"/>
      <w:b/>
      <w:color w:val="244061" w:themeColor="accent1" w:themeShade="80"/>
      <w:sz w:val="24"/>
      <w:szCs w:val="24"/>
      <w:lang w:eastAsia="es-ES"/>
    </w:rPr>
  </w:style>
  <w:style w:type="character" w:customStyle="1" w:styleId="PrrafodelistaCar">
    <w:name w:val="Párrafo de lista Car"/>
    <w:aliases w:val="LISTA Car,Párrafo de lista1 Car,Párrafo de lista2 Car,Ha Car,Resume Title Car,Bullet List Car,FooterText Car,numbered Car,List Paragraph1 Car,Paragraphe de liste1 Car,lp1 Car,HOJA Car,Colorful List Accent 1 Car,titulo 3 Car"/>
    <w:link w:val="Prrafodelista"/>
    <w:uiPriority w:val="34"/>
    <w:qFormat/>
    <w:rsid w:val="002D0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76CEE-8897-42AC-95EF-85E74AF8E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7</Pages>
  <Words>1538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Idpac</Company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yavila</dc:creator>
  <cp:lastModifiedBy>Yamile Avila Otalora</cp:lastModifiedBy>
  <cp:revision>53</cp:revision>
  <dcterms:created xsi:type="dcterms:W3CDTF">2017-08-07T13:05:00Z</dcterms:created>
  <dcterms:modified xsi:type="dcterms:W3CDTF">2018-03-08T16:06:00Z</dcterms:modified>
</cp:coreProperties>
</file>